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黑体" w:hAnsi="ˎ̥" w:eastAsia="黑体"/>
          <w:sz w:val="44"/>
          <w:szCs w:val="44"/>
        </w:rPr>
      </w:pPr>
      <w:bookmarkStart w:id="121" w:name="_GoBack"/>
    </w:p>
    <w:p>
      <w:pPr>
        <w:spacing w:line="578" w:lineRule="exact"/>
        <w:jc w:val="center"/>
        <w:rPr>
          <w:rFonts w:hint="eastAsia" w:ascii="黑体" w:hAnsi="ˎ̥" w:eastAsia="黑体"/>
          <w:sz w:val="44"/>
          <w:szCs w:val="44"/>
        </w:rPr>
      </w:pPr>
      <w:r>
        <w:rPr>
          <w:rFonts w:hint="eastAsia" w:ascii="黑体" w:hAnsi="ˎ̥" w:eastAsia="黑体"/>
          <w:sz w:val="44"/>
          <w:szCs w:val="44"/>
        </w:rPr>
        <w:t>那曲市经信局机关202</w:t>
      </w:r>
      <w:r>
        <w:rPr>
          <w:rFonts w:ascii="黑体" w:hAnsi="ˎ̥" w:eastAsia="黑体"/>
          <w:sz w:val="44"/>
          <w:szCs w:val="44"/>
        </w:rPr>
        <w:t>3</w:t>
      </w:r>
      <w:r>
        <w:rPr>
          <w:rFonts w:hint="eastAsia" w:ascii="黑体" w:hAnsi="ˎ̥" w:eastAsia="黑体"/>
          <w:sz w:val="44"/>
          <w:szCs w:val="44"/>
        </w:rPr>
        <w:t>年度部门</w:t>
      </w:r>
    </w:p>
    <w:bookmarkEnd w:id="121"/>
    <w:p>
      <w:pPr>
        <w:spacing w:line="578" w:lineRule="exact"/>
        <w:jc w:val="center"/>
        <w:rPr>
          <w:rFonts w:hint="eastAsia" w:ascii="黑体" w:hAnsi="ˎ̥" w:eastAsia="黑体"/>
          <w:sz w:val="44"/>
          <w:szCs w:val="44"/>
        </w:rPr>
      </w:pPr>
      <w:r>
        <w:rPr>
          <w:rFonts w:hint="eastAsia" w:ascii="黑体" w:hAnsi="ˎ̥" w:eastAsia="黑体"/>
          <w:sz w:val="44"/>
          <w:szCs w:val="44"/>
        </w:rPr>
        <w:t>决算公开</w:t>
      </w:r>
      <w:r>
        <w:rPr>
          <w:rFonts w:ascii="黑体" w:hAnsi="ˎ̥" w:eastAsia="黑体"/>
          <w:sz w:val="44"/>
          <w:szCs w:val="44"/>
        </w:rPr>
        <w:t>报告</w:t>
      </w:r>
    </w:p>
    <w:p>
      <w:pPr>
        <w:spacing w:line="578" w:lineRule="exact"/>
        <w:jc w:val="center"/>
        <w:rPr>
          <w:rFonts w:hint="eastAsia" w:ascii="黑体" w:hAnsi="ˎ̥" w:eastAsia="黑体"/>
          <w:b/>
          <w:sz w:val="32"/>
          <w:szCs w:val="32"/>
        </w:rPr>
      </w:pPr>
    </w:p>
    <w:p>
      <w:pPr>
        <w:spacing w:line="578" w:lineRule="exact"/>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  录</w:t>
      </w:r>
    </w:p>
    <w:p>
      <w:pPr>
        <w:pStyle w:val="16"/>
        <w:tabs>
          <w:tab w:val="right" w:leader="dot" w:pos="8306"/>
        </w:tabs>
        <w:spacing w:line="578" w:lineRule="exact"/>
        <w:rPr>
          <w:rFonts w:hint="eastAsia"/>
          <w:sz w:val="32"/>
          <w:szCs w:val="32"/>
        </w:rPr>
      </w:pPr>
      <w:r>
        <w:fldChar w:fldCharType="begin"/>
      </w:r>
      <w:r>
        <w:rPr>
          <w:sz w:val="32"/>
          <w:szCs w:val="32"/>
        </w:rPr>
        <w:instrText xml:space="preserve"> HYPERLINK \l _Toc1704_WPSOffice_Level1 </w:instrText>
      </w:r>
      <w:r>
        <w:rPr>
          <w:sz w:val="32"/>
          <w:szCs w:val="32"/>
        </w:rPr>
        <w:fldChar w:fldCharType="separate"/>
      </w:r>
      <w:r>
        <w:rPr>
          <w:rFonts w:hint="eastAsia" w:ascii="黑体" w:hAnsi="ˎ̥" w:eastAsia="黑体"/>
          <w:sz w:val="32"/>
          <w:szCs w:val="32"/>
        </w:rPr>
        <w:t>第一部分 基本情况</w:t>
      </w:r>
      <w:r>
        <w:rPr>
          <w:sz w:val="32"/>
          <w:szCs w:val="32"/>
        </w:rPr>
        <w:tab/>
      </w:r>
      <w:r>
        <w:rPr>
          <w:sz w:val="32"/>
          <w:szCs w:val="32"/>
        </w:rPr>
        <w:fldChar w:fldCharType="end"/>
      </w:r>
      <w:r>
        <w:rPr>
          <w:rFonts w:hint="eastAsia"/>
          <w:sz w:val="32"/>
          <w:szCs w:val="32"/>
        </w:rPr>
        <w:t>2</w:t>
      </w:r>
    </w:p>
    <w:p>
      <w:pPr>
        <w:pStyle w:val="17"/>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一、部门（单位）职责</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pPr>
        <w:pStyle w:val="17"/>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pPr>
        <w:pStyle w:val="16"/>
        <w:tabs>
          <w:tab w:val="right" w:leader="dot" w:pos="8306"/>
        </w:tabs>
        <w:spacing w:line="578" w:lineRule="exact"/>
        <w:rPr>
          <w:rFonts w:hint="eastAsia"/>
          <w:sz w:val="32"/>
          <w:szCs w:val="32"/>
        </w:rPr>
      </w:pPr>
      <w:r>
        <w:fldChar w:fldCharType="begin"/>
      </w:r>
      <w:r>
        <w:rPr>
          <w:sz w:val="32"/>
          <w:szCs w:val="32"/>
        </w:rPr>
        <w:instrText xml:space="preserve"> HYPERLINK \l _Toc28253_WPSOffice_Level1 </w:instrText>
      </w:r>
      <w:r>
        <w:rPr>
          <w:sz w:val="32"/>
          <w:szCs w:val="32"/>
        </w:rPr>
        <w:fldChar w:fldCharType="separate"/>
      </w:r>
      <w:r>
        <w:rPr>
          <w:rFonts w:hint="eastAsia" w:ascii="黑体" w:hAnsi="ˎ̥" w:eastAsia="黑体"/>
          <w:sz w:val="32"/>
          <w:szCs w:val="32"/>
        </w:rPr>
        <w:t>第二部分  202</w:t>
      </w:r>
      <w:r>
        <w:rPr>
          <w:rFonts w:ascii="黑体" w:hAnsi="ˎ̥" w:eastAsia="黑体"/>
          <w:sz w:val="32"/>
          <w:szCs w:val="32"/>
        </w:rPr>
        <w:t>3</w:t>
      </w:r>
      <w:r>
        <w:rPr>
          <w:rFonts w:hint="eastAsia" w:ascii="黑体" w:hAnsi="ˎ̥" w:eastAsia="黑体"/>
          <w:sz w:val="32"/>
          <w:szCs w:val="32"/>
        </w:rPr>
        <w:t>年度部门决算公开表</w:t>
      </w:r>
      <w:r>
        <w:rPr>
          <w:sz w:val="32"/>
          <w:szCs w:val="32"/>
        </w:rPr>
        <w:tab/>
      </w:r>
      <w:r>
        <w:rPr>
          <w:sz w:val="32"/>
          <w:szCs w:val="32"/>
        </w:rPr>
        <w:fldChar w:fldCharType="end"/>
      </w:r>
      <w:r>
        <w:rPr>
          <w:rFonts w:hint="eastAsia"/>
          <w:sz w:val="32"/>
          <w:szCs w:val="32"/>
        </w:rPr>
        <w:t>2</w:t>
      </w:r>
    </w:p>
    <w:p>
      <w:pPr>
        <w:pStyle w:val="16"/>
        <w:tabs>
          <w:tab w:val="right" w:leader="dot" w:pos="8306"/>
        </w:tabs>
        <w:spacing w:line="578" w:lineRule="exact"/>
        <w:rPr>
          <w:rFonts w:hint="eastAsia"/>
          <w:sz w:val="32"/>
          <w:szCs w:val="32"/>
        </w:rPr>
      </w:pPr>
      <w:r>
        <w:fldChar w:fldCharType="begin"/>
      </w:r>
      <w:r>
        <w:rPr>
          <w:sz w:val="32"/>
          <w:szCs w:val="32"/>
        </w:rPr>
        <w:instrText xml:space="preserve"> HYPERLINK \l _Toc27590_WPSOffice_Level1 </w:instrText>
      </w:r>
      <w:r>
        <w:rPr>
          <w:sz w:val="32"/>
          <w:szCs w:val="32"/>
        </w:rPr>
        <w:fldChar w:fldCharType="separate"/>
      </w:r>
      <w:r>
        <w:rPr>
          <w:rFonts w:hint="eastAsia" w:ascii="黑体" w:hAnsi="黑体" w:eastAsia="黑体" w:cs="黑体"/>
          <w:sz w:val="32"/>
          <w:szCs w:val="32"/>
        </w:rPr>
        <w:t>第三部分</w:t>
      </w:r>
      <w:r>
        <w:rPr>
          <w:rFonts w:hint="eastAsia"/>
          <w:sz w:val="32"/>
          <w:szCs w:val="32"/>
        </w:rPr>
        <w:t xml:space="preserve">  </w:t>
      </w:r>
      <w:r>
        <w:rPr>
          <w:rFonts w:hint="eastAsia" w:ascii="黑体" w:hAnsi="ˎ̥" w:eastAsia="黑体"/>
          <w:sz w:val="32"/>
          <w:szCs w:val="32"/>
        </w:rPr>
        <w:t>202</w:t>
      </w:r>
      <w:r>
        <w:rPr>
          <w:rFonts w:ascii="黑体" w:hAnsi="ˎ̥" w:eastAsia="黑体"/>
          <w:sz w:val="32"/>
          <w:szCs w:val="32"/>
        </w:rPr>
        <w:t>3</w:t>
      </w:r>
      <w:r>
        <w:rPr>
          <w:rFonts w:hint="eastAsia" w:ascii="黑体" w:hAnsi="ˎ̥" w:eastAsia="黑体"/>
          <w:sz w:val="32"/>
          <w:szCs w:val="32"/>
        </w:rPr>
        <w:t>年度部门决算情况说明</w:t>
      </w:r>
      <w:r>
        <w:rPr>
          <w:sz w:val="32"/>
          <w:szCs w:val="32"/>
        </w:rPr>
        <w:tab/>
      </w:r>
      <w:r>
        <w:rPr>
          <w:sz w:val="32"/>
          <w:szCs w:val="32"/>
        </w:rPr>
        <w:fldChar w:fldCharType="end"/>
      </w:r>
      <w:r>
        <w:rPr>
          <w:rFonts w:hint="eastAsia"/>
          <w:sz w:val="32"/>
          <w:szCs w:val="32"/>
        </w:rPr>
        <w:t>3</w:t>
      </w:r>
    </w:p>
    <w:p>
      <w:pPr>
        <w:pStyle w:val="17"/>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一、收入支出总体情况说明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3</w:t>
      </w:r>
    </w:p>
    <w:p>
      <w:pPr>
        <w:pStyle w:val="17"/>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17"/>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17"/>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四、财政拨款收入支出决算情况说明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17"/>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5</w:t>
      </w:r>
    </w:p>
    <w:p>
      <w:pPr>
        <w:pStyle w:val="17"/>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六、一般公共预算财政拨款基本支出决算情况说明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rPr>
        <w:t>6</w:t>
      </w:r>
    </w:p>
    <w:p>
      <w:pPr>
        <w:pStyle w:val="17"/>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政府性基金预算财政拨款支出决算情况说明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7</w:t>
      </w:r>
    </w:p>
    <w:p>
      <w:pPr>
        <w:pStyle w:val="17"/>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国有资本经营预算财政拨款支出决算情况说明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8</w:t>
      </w:r>
    </w:p>
    <w:p>
      <w:pPr>
        <w:pStyle w:val="17"/>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九、财政拨款“三公”经费支出决算情况说明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9</w:t>
      </w:r>
    </w:p>
    <w:p>
      <w:pPr>
        <w:pStyle w:val="17"/>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11</w:t>
      </w:r>
    </w:p>
    <w:p>
      <w:pPr>
        <w:pStyle w:val="17"/>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十一、其他重要事项情况说明</w:t>
      </w:r>
      <w:r>
        <w:rPr>
          <w:rFonts w:hint="eastAsia" w:ascii="仿宋" w:hAnsi="仿宋" w:eastAsia="仿宋" w:cs="仿宋"/>
          <w:sz w:val="32"/>
          <w:szCs w:val="32"/>
        </w:rPr>
        <w:tab/>
      </w:r>
      <w:r>
        <w:rPr>
          <w:rFonts w:hint="eastAsia" w:ascii="仿宋" w:hAnsi="仿宋" w:eastAsia="仿宋" w:cs="仿宋"/>
          <w:sz w:val="32"/>
          <w:szCs w:val="32"/>
        </w:rPr>
        <w:t>13</w:t>
      </w:r>
    </w:p>
    <w:p>
      <w:pPr>
        <w:pStyle w:val="16"/>
        <w:tabs>
          <w:tab w:val="right" w:leader="dot" w:pos="8306"/>
        </w:tabs>
        <w:spacing w:line="578" w:lineRule="exact"/>
        <w:rPr>
          <w:rFonts w:hint="eastAsia" w:ascii="黑体" w:hAnsi="ˎ̥"/>
          <w:b/>
          <w:sz w:val="32"/>
          <w:szCs w:val="32"/>
        </w:rPr>
      </w:pPr>
      <w:r>
        <w:fldChar w:fldCharType="begin"/>
      </w:r>
      <w:r>
        <w:rPr>
          <w:sz w:val="32"/>
          <w:szCs w:val="32"/>
        </w:rPr>
        <w:instrText xml:space="preserve"> HYPERLINK \l _Toc15425_WPSOffice_Level1 </w:instrText>
      </w:r>
      <w:r>
        <w:rPr>
          <w:sz w:val="32"/>
          <w:szCs w:val="32"/>
        </w:rPr>
        <w:fldChar w:fldCharType="separate"/>
      </w:r>
      <w:r>
        <w:rPr>
          <w:rFonts w:hint="eastAsia" w:ascii="黑体" w:hAnsi="ˎ̥" w:eastAsia="黑体"/>
          <w:sz w:val="32"/>
          <w:szCs w:val="32"/>
        </w:rPr>
        <w:t>第四部分  名词解释</w:t>
      </w:r>
      <w:r>
        <w:rPr>
          <w:sz w:val="32"/>
          <w:szCs w:val="32"/>
        </w:rPr>
        <w:tab/>
      </w:r>
      <w:bookmarkStart w:id="1" w:name="_Toc15425_WPSOffice_Level1Page"/>
      <w:r>
        <w:rPr>
          <w:sz w:val="32"/>
          <w:szCs w:val="32"/>
        </w:rPr>
        <w:t>1</w:t>
      </w:r>
      <w:bookmarkEnd w:id="1"/>
      <w:r>
        <w:rPr>
          <w:sz w:val="32"/>
          <w:szCs w:val="32"/>
        </w:rPr>
        <w:fldChar w:fldCharType="end"/>
      </w:r>
      <w:bookmarkEnd w:id="0"/>
      <w:r>
        <w:rPr>
          <w:rFonts w:hint="eastAsia"/>
          <w:sz w:val="32"/>
          <w:szCs w:val="32"/>
        </w:rPr>
        <w:t>5</w:t>
      </w:r>
    </w:p>
    <w:p>
      <w:pPr>
        <w:spacing w:line="578" w:lineRule="exact"/>
        <w:rPr>
          <w:rFonts w:hint="eastAsia" w:ascii="黑体" w:hAnsi="ˎ̥" w:eastAsia="黑体"/>
          <w:sz w:val="32"/>
          <w:szCs w:val="32"/>
        </w:rPr>
      </w:pPr>
      <w:bookmarkStart w:id="2" w:name="_Toc32433_WPSOffice_Level1"/>
      <w:bookmarkStart w:id="3" w:name="_Toc23465_WPSOffice_Level1"/>
      <w:bookmarkStart w:id="4" w:name="_Toc22941_WPSOffice_Level1"/>
      <w:bookmarkStart w:id="5" w:name="_Toc1704_WPSOffice_Level1"/>
      <w:bookmarkStart w:id="6" w:name="_Toc10720_WPSOffice_Level1"/>
      <w:bookmarkStart w:id="7" w:name="_Toc10049_WPSOffice_Level1"/>
      <w:bookmarkStart w:id="8" w:name="_Toc24238_WPSOffice_Level2"/>
      <w:bookmarkStart w:id="9" w:name="_Toc20205_WPSOffice_Level2"/>
      <w:bookmarkStart w:id="10" w:name="_Toc14159_WPSOffice_Level2"/>
      <w:bookmarkStart w:id="11" w:name="_Toc26580_WPSOffice_Level2"/>
      <w:bookmarkStart w:id="12" w:name="_Toc20274_WPSOffice_Level2"/>
      <w:bookmarkStart w:id="13" w:name="_Toc32622_WPSOffice_Level2"/>
    </w:p>
    <w:p>
      <w:pPr>
        <w:spacing w:line="578" w:lineRule="exact"/>
        <w:rPr>
          <w:rFonts w:hint="eastAsia" w:ascii="黑体" w:hAnsi="ˎ̥" w:eastAsia="黑体"/>
          <w:sz w:val="32"/>
          <w:szCs w:val="32"/>
        </w:rPr>
      </w:pPr>
    </w:p>
    <w:p>
      <w:pPr>
        <w:spacing w:line="578" w:lineRule="exact"/>
        <w:jc w:val="center"/>
        <w:rPr>
          <w:rFonts w:hint="eastAsia" w:ascii="黑体" w:hAnsi="ˎ̥" w:eastAsia="黑体"/>
          <w:sz w:val="32"/>
          <w:szCs w:val="32"/>
        </w:rPr>
      </w:pPr>
      <w:r>
        <w:rPr>
          <w:rFonts w:hint="eastAsia" w:ascii="黑体" w:hAnsi="ˎ̥" w:eastAsia="黑体"/>
          <w:sz w:val="32"/>
          <w:szCs w:val="32"/>
        </w:rPr>
        <w:t xml:space="preserve">第一部分  </w:t>
      </w:r>
      <w:bookmarkEnd w:id="2"/>
      <w:bookmarkEnd w:id="3"/>
      <w:bookmarkEnd w:id="4"/>
      <w:bookmarkEnd w:id="5"/>
      <w:bookmarkEnd w:id="6"/>
      <w:bookmarkEnd w:id="7"/>
      <w:r>
        <w:rPr>
          <w:rFonts w:hint="eastAsia" w:ascii="黑体" w:hAnsi="ˎ̥" w:eastAsia="黑体"/>
          <w:sz w:val="32"/>
          <w:szCs w:val="32"/>
        </w:rPr>
        <w:t>基本情况</w:t>
      </w:r>
    </w:p>
    <w:p>
      <w:pPr>
        <w:spacing w:line="578" w:lineRule="exact"/>
        <w:ind w:firstLine="640" w:firstLineChars="200"/>
        <w:rPr>
          <w:rFonts w:hint="eastAsia" w:ascii="楷体" w:hAnsi="楷体" w:eastAsia="楷体" w:cs="楷体"/>
          <w:sz w:val="32"/>
          <w:szCs w:val="32"/>
        </w:rPr>
      </w:pPr>
    </w:p>
    <w:p>
      <w:p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一、部门</w:t>
      </w:r>
      <w:bookmarkEnd w:id="8"/>
      <w:r>
        <w:rPr>
          <w:rFonts w:hint="eastAsia" w:ascii="黑体" w:hAnsi="黑体" w:eastAsia="黑体" w:cs="黑体"/>
          <w:sz w:val="32"/>
          <w:szCs w:val="32"/>
        </w:rPr>
        <w:t>（单位）职责</w:t>
      </w:r>
      <w:bookmarkEnd w:id="9"/>
      <w:bookmarkEnd w:id="10"/>
      <w:bookmarkEnd w:id="11"/>
      <w:bookmarkEnd w:id="12"/>
      <w:bookmarkEnd w:id="13"/>
    </w:p>
    <w:p>
      <w:pPr>
        <w:pStyle w:val="15"/>
        <w:ind w:firstLine="579" w:firstLineChars="181"/>
        <w:rPr>
          <w:rFonts w:hint="eastAsia" w:ascii="仿宋" w:hAnsi="仿宋" w:eastAsia="仿宋"/>
          <w:sz w:val="32"/>
          <w:szCs w:val="32"/>
        </w:rPr>
      </w:pPr>
      <w:bookmarkStart w:id="14" w:name="_Toc4833_WPSOffice_Level2"/>
      <w:bookmarkStart w:id="15" w:name="_Toc17796_WPSOffice_Level2"/>
      <w:bookmarkStart w:id="16" w:name="_Toc6572_WPSOffice_Level2"/>
      <w:bookmarkStart w:id="17" w:name="_Toc24059_WPSOffice_Level2"/>
      <w:bookmarkStart w:id="18" w:name="_Toc24474_WPSOffice_Level2"/>
      <w:r>
        <w:rPr>
          <w:rFonts w:hint="eastAsia" w:ascii="宋体" w:hAnsi="宋体"/>
          <w:sz w:val="32"/>
          <w:szCs w:val="32"/>
        </w:rPr>
        <w:t>（</w:t>
      </w:r>
      <w:r>
        <w:rPr>
          <w:rFonts w:hint="eastAsia" w:ascii="仿宋" w:hAnsi="仿宋" w:eastAsia="仿宋"/>
          <w:sz w:val="32"/>
          <w:szCs w:val="32"/>
        </w:rPr>
        <w:t>一）、执行国家工业经济、数字经济和信息化建设的方针政策，贯彻落实有关法律法规，研究起草相关地方性法规和政府规章草案。拟定全市工业经济、数字经济和信息化建设规划和政策、措施并组织实施，拟定行业技术规范和标准并实施组织。</w:t>
      </w:r>
    </w:p>
    <w:p>
      <w:pPr>
        <w:pStyle w:val="15"/>
        <w:ind w:firstLineChars="0"/>
        <w:rPr>
          <w:rFonts w:hint="eastAsia" w:ascii="仿宋" w:hAnsi="仿宋" w:eastAsia="仿宋"/>
          <w:sz w:val="32"/>
          <w:szCs w:val="32"/>
        </w:rPr>
      </w:pPr>
      <w:r>
        <w:rPr>
          <w:rFonts w:hint="eastAsia" w:ascii="仿宋" w:hAnsi="仿宋" w:eastAsia="仿宋"/>
          <w:sz w:val="32"/>
          <w:szCs w:val="32"/>
        </w:rPr>
        <w:t>（二）、提出优化全市工业经济、数字经济和信息化建设布局、结构调整、对外开放和利用外资的政策建议，推动相关领域供给侧结构性改革和承接产业转移工作，承担全市工业和信息化交流合作和招商引资工作。</w:t>
      </w:r>
    </w:p>
    <w:p>
      <w:pPr>
        <w:pStyle w:val="15"/>
        <w:ind w:firstLineChars="0"/>
        <w:rPr>
          <w:rFonts w:hint="eastAsia" w:ascii="仿宋" w:hAnsi="仿宋" w:eastAsia="仿宋"/>
          <w:sz w:val="32"/>
          <w:szCs w:val="32"/>
        </w:rPr>
      </w:pPr>
      <w:r>
        <w:rPr>
          <w:rFonts w:hint="eastAsia" w:ascii="仿宋" w:hAnsi="仿宋" w:eastAsia="仿宋"/>
          <w:sz w:val="32"/>
          <w:szCs w:val="32"/>
        </w:rPr>
        <w:t>（三）、负责提出全市工业经济、数字经济和信息化领域固定资产投资规模和方向、国家和自治区用于全市工业经济、数字经济和信息化领域财政性建设资金安排的意见。按规定权限审批、核准、审核全市工业经济、数字经济和信息化领域固定资产投资项目和企业技术改造项目并监督实施。</w:t>
      </w:r>
    </w:p>
    <w:p>
      <w:pPr>
        <w:pStyle w:val="15"/>
        <w:ind w:firstLineChars="0"/>
        <w:rPr>
          <w:rFonts w:hint="eastAsia" w:ascii="仿宋" w:hAnsi="仿宋" w:eastAsia="仿宋"/>
          <w:sz w:val="32"/>
          <w:szCs w:val="32"/>
        </w:rPr>
      </w:pPr>
      <w:r>
        <w:rPr>
          <w:rFonts w:hint="eastAsia" w:ascii="仿宋" w:hAnsi="仿宋" w:eastAsia="仿宋"/>
          <w:sz w:val="32"/>
          <w:szCs w:val="32"/>
        </w:rPr>
        <w:t>（四）、负责全市工业经济、数字经济和信息化建设的运行、调度工作。监测、分析工业经济、数字经济和信息化建设的运行姿势和质量，进行预测预警、统计并发布相关信息，加强信息引导。协调解决行业运行发展中的重大问题。会同市发展和改革委员会负责涉及工业和信息化领域煤、电、油、气、运、数据等生产要素的调度保障工作。</w:t>
      </w:r>
    </w:p>
    <w:p>
      <w:pPr>
        <w:pStyle w:val="15"/>
        <w:ind w:firstLineChars="0"/>
        <w:rPr>
          <w:rFonts w:hint="eastAsia" w:ascii="仿宋" w:hAnsi="仿宋" w:eastAsia="仿宋"/>
          <w:sz w:val="32"/>
          <w:szCs w:val="32"/>
        </w:rPr>
      </w:pPr>
      <w:r>
        <w:rPr>
          <w:rFonts w:hint="eastAsia" w:ascii="仿宋" w:hAnsi="仿宋" w:eastAsia="仿宋"/>
          <w:sz w:val="32"/>
          <w:szCs w:val="32"/>
        </w:rPr>
        <w:t>（五）、负责统筹推进全市数字经济和大数据应用发展，指导协调信息产业发展中的重大问题。负责政府和社会公共数据资源管理服务。负责工业化和信息化融合发展，指导协调推进网络信息技术与实体经济深度融合，推动各行业数字化转型发展，促进信息消费。</w:t>
      </w:r>
    </w:p>
    <w:p>
      <w:pPr>
        <w:pStyle w:val="15"/>
        <w:ind w:firstLineChars="0"/>
        <w:rPr>
          <w:rFonts w:hint="eastAsia" w:ascii="仿宋" w:hAnsi="仿宋" w:eastAsia="仿宋"/>
          <w:sz w:val="32"/>
          <w:szCs w:val="32"/>
        </w:rPr>
      </w:pPr>
      <w:r>
        <w:rPr>
          <w:rFonts w:hint="eastAsia" w:ascii="仿宋" w:hAnsi="仿宋" w:eastAsia="仿宋"/>
          <w:sz w:val="32"/>
          <w:szCs w:val="32"/>
        </w:rPr>
        <w:t>（六）、负责统筹推进全市信息化建设工作。负责全市重大信息化工程的规划、布局，负责组织推进全市电子政务建设，统筹推动跨行业、跨部门的互联互通和重要信息资源的开发利用、共享。负责预算内政府信息化项目技术论证和符合性审查。统筹通信业需求侧研究和管理，联系在藏基础电信企业工作，指导协调实际信息化企业发展。</w:t>
      </w:r>
    </w:p>
    <w:p>
      <w:pPr>
        <w:pStyle w:val="15"/>
        <w:ind w:firstLineChars="0"/>
        <w:rPr>
          <w:rFonts w:hint="eastAsia" w:ascii="仿宋" w:hAnsi="仿宋" w:eastAsia="仿宋"/>
          <w:sz w:val="32"/>
          <w:szCs w:val="32"/>
        </w:rPr>
      </w:pPr>
      <w:r>
        <w:rPr>
          <w:rFonts w:hint="eastAsia" w:ascii="仿宋" w:hAnsi="仿宋" w:eastAsia="仿宋"/>
          <w:sz w:val="32"/>
          <w:szCs w:val="32"/>
        </w:rPr>
        <w:t>（七）、推动全市工业经济、数字经济和信息化行业体制改革和管理创新。指导工业和信息化行业技术创新和技术进步，改造提升传统产业，组织实施国家、自治区和市相关领域科技重大专项，推进相关科研结果产业化。指导行业质量管理和推进品牌战略工作。</w:t>
      </w:r>
    </w:p>
    <w:p>
      <w:pPr>
        <w:pStyle w:val="15"/>
        <w:ind w:firstLineChars="0"/>
        <w:rPr>
          <w:rFonts w:hint="eastAsia" w:ascii="仿宋" w:hAnsi="仿宋" w:eastAsia="仿宋"/>
          <w:sz w:val="32"/>
          <w:szCs w:val="32"/>
        </w:rPr>
      </w:pPr>
      <w:r>
        <w:rPr>
          <w:rFonts w:hint="eastAsia" w:ascii="仿宋" w:hAnsi="仿宋" w:eastAsia="仿宋"/>
          <w:sz w:val="32"/>
          <w:szCs w:val="32"/>
        </w:rPr>
        <w:t>（八）、负责全市工业经济、数字经济和信息化领域的节能降耗、清洁生产和资源综合利用工作，参与制定能源节约和资源综合利用好、清洁生产促进规划和污染控制政策。承担工业和信息化领域产业固定资产投资项目的节能评审工作，提出评审意见。协调解决工业化与生态环境协调发展中的重大问题，组织实施相关重大示范项目和新产品、新技术、新工艺、新设备、新材料的推广应用。承担工业领域国防动员工作。</w:t>
      </w:r>
    </w:p>
    <w:p>
      <w:pPr>
        <w:pStyle w:val="15"/>
        <w:ind w:firstLineChars="0"/>
        <w:rPr>
          <w:rFonts w:hint="eastAsia" w:ascii="仿宋" w:hAnsi="仿宋" w:eastAsia="仿宋"/>
          <w:sz w:val="32"/>
          <w:szCs w:val="32"/>
        </w:rPr>
      </w:pPr>
      <w:r>
        <w:rPr>
          <w:rFonts w:hint="eastAsia" w:ascii="仿宋" w:hAnsi="仿宋" w:eastAsia="仿宋"/>
          <w:sz w:val="32"/>
          <w:szCs w:val="32"/>
        </w:rPr>
        <w:t>（九）、负责全市原材料、消费品、装备、电子信息等工业和信息化行业规划管理工作。承担矿业、化工（不含炼油、煤制燃料和燃料乙醇）、建材业等重工业的行业管理。承担食品业、药业、天然饮用水产业、民族手工业等行业管理。组织协调装备制造业发展，指导先进技术装备的消化吸收创新。负责盐业行业管理、国防科技工业行业管理、国防信息动员工作。负责民用爆炸物品行业管理工作。指导工艺美术大师评选。</w:t>
      </w:r>
    </w:p>
    <w:p>
      <w:pPr>
        <w:pStyle w:val="15"/>
        <w:adjustRightInd w:val="0"/>
        <w:ind w:firstLine="480" w:firstLineChars="150"/>
        <w:rPr>
          <w:rFonts w:hint="eastAsia" w:ascii="仿宋" w:hAnsi="仿宋" w:eastAsia="仿宋"/>
          <w:sz w:val="32"/>
          <w:szCs w:val="32"/>
        </w:rPr>
      </w:pPr>
      <w:r>
        <w:rPr>
          <w:rFonts w:hint="eastAsia" w:ascii="仿宋" w:hAnsi="仿宋" w:eastAsia="仿宋"/>
          <w:sz w:val="32"/>
          <w:szCs w:val="32"/>
        </w:rPr>
        <w:t>（十）、负责全市中小企业发展的宏观指导、综合协调和监督检查。拟订促进中小企业发展的规划和政策、措施。引导中小企业转变发展方式、推动结构调整。提出国家、自治区和市级扶持中小企业发展专项资金的安排意见。拟订促进中小企业创业创新政策、措施并组织实施。参与制定中小企业融资和担保的政策、措施，推动中小企业信用担保体系建设，指导中小企业服务体系建设和中小企业对外交流合作。</w:t>
      </w:r>
    </w:p>
    <w:p>
      <w:pPr>
        <w:pStyle w:val="15"/>
        <w:adjustRightInd w:val="0"/>
        <w:ind w:firstLine="480" w:firstLineChars="150"/>
        <w:rPr>
          <w:rFonts w:hint="eastAsia" w:ascii="仿宋" w:hAnsi="仿宋" w:eastAsia="仿宋"/>
          <w:sz w:val="32"/>
          <w:szCs w:val="32"/>
        </w:rPr>
      </w:pPr>
      <w:r>
        <w:rPr>
          <w:rFonts w:hint="eastAsia" w:ascii="仿宋" w:hAnsi="仿宋" w:eastAsia="仿宋"/>
          <w:sz w:val="32"/>
          <w:szCs w:val="32"/>
        </w:rPr>
        <w:t>（十一）、负责全市产业园区的建设管理工作。拟定产业园区发展规划和政策、措施并组织实施。推进产业园区公共配套设施建设，组织实施产业园区公共服务平台项目计划，指导产业园区管委会提升园区管理水平。</w:t>
      </w:r>
    </w:p>
    <w:p>
      <w:pPr>
        <w:pStyle w:val="15"/>
        <w:adjustRightInd w:val="0"/>
        <w:ind w:firstLine="480" w:firstLineChars="150"/>
        <w:rPr>
          <w:rFonts w:hint="eastAsia" w:ascii="仿宋" w:hAnsi="仿宋" w:eastAsia="仿宋"/>
          <w:sz w:val="32"/>
          <w:szCs w:val="32"/>
        </w:rPr>
      </w:pPr>
      <w:r>
        <w:rPr>
          <w:rFonts w:hint="eastAsia" w:ascii="仿宋" w:hAnsi="仿宋" w:eastAsia="仿宋"/>
          <w:sz w:val="32"/>
          <w:szCs w:val="32"/>
        </w:rPr>
        <w:t>（十二）、组织研究全市通信网络相关信息安全问题并提出政策措施。协调管理电信网、互联网网络信息安全平台。负责网络安全信息应急管理和处置，负责特殊通信管理，拟订通信管制和网络管制政策措施。管理党政专用通信工作。联系通信和无线电的管理工作。</w:t>
      </w:r>
    </w:p>
    <w:p>
      <w:pPr>
        <w:pStyle w:val="15"/>
        <w:adjustRightInd w:val="0"/>
        <w:ind w:firstLine="480" w:firstLineChars="150"/>
        <w:rPr>
          <w:rFonts w:hint="eastAsia" w:ascii="仿宋" w:hAnsi="仿宋" w:eastAsia="仿宋"/>
          <w:sz w:val="32"/>
          <w:szCs w:val="32"/>
        </w:rPr>
      </w:pPr>
      <w:r>
        <w:rPr>
          <w:rFonts w:hint="eastAsia" w:ascii="仿宋" w:hAnsi="仿宋" w:eastAsia="仿宋"/>
          <w:sz w:val="32"/>
          <w:szCs w:val="32"/>
        </w:rPr>
        <w:t>（十三）、负责本行业领域安全生产监督管理和应急处置工作。</w:t>
      </w:r>
    </w:p>
    <w:p>
      <w:pPr>
        <w:pStyle w:val="15"/>
        <w:adjustRightInd w:val="0"/>
        <w:ind w:firstLine="480" w:firstLineChars="150"/>
        <w:rPr>
          <w:rFonts w:hint="eastAsia" w:ascii="仿宋" w:hAnsi="仿宋" w:eastAsia="仿宋"/>
          <w:sz w:val="32"/>
          <w:szCs w:val="32"/>
        </w:rPr>
      </w:pPr>
      <w:r>
        <w:rPr>
          <w:rFonts w:hint="eastAsia" w:ascii="仿宋" w:hAnsi="仿宋" w:eastAsia="仿宋"/>
          <w:sz w:val="32"/>
          <w:szCs w:val="32"/>
        </w:rPr>
        <w:t>（十四）、完成市委、市政府交办的其他任务。</w:t>
      </w:r>
    </w:p>
    <w:p>
      <w:pPr>
        <w:spacing w:line="578" w:lineRule="exact"/>
        <w:ind w:firstLine="640" w:firstLineChars="200"/>
        <w:rPr>
          <w:rFonts w:hint="eastAsia" w:ascii="黑体" w:hAnsi="黑体" w:eastAsia="黑体" w:cs="黑体"/>
          <w:sz w:val="32"/>
          <w:szCs w:val="32"/>
        </w:rPr>
      </w:pPr>
    </w:p>
    <w:p>
      <w:p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二、机构设置</w:t>
      </w:r>
      <w:bookmarkEnd w:id="14"/>
      <w:bookmarkEnd w:id="15"/>
      <w:bookmarkEnd w:id="16"/>
      <w:bookmarkEnd w:id="17"/>
      <w:bookmarkEnd w:id="18"/>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纳入那曲市经济和信息化局202</w:t>
      </w:r>
      <w:r>
        <w:rPr>
          <w:rFonts w:ascii="仿宋_GB2312" w:hAnsi="ˎ̥" w:eastAsia="仿宋_GB2312"/>
          <w:sz w:val="32"/>
          <w:szCs w:val="32"/>
        </w:rPr>
        <w:t>3</w:t>
      </w:r>
      <w:r>
        <w:rPr>
          <w:rFonts w:hint="eastAsia" w:ascii="仿宋_GB2312" w:hAnsi="ˎ̥" w:eastAsia="仿宋_GB2312"/>
          <w:sz w:val="32"/>
          <w:szCs w:val="32"/>
        </w:rPr>
        <w:t>年度部门决算编制范围的单位共1个。</w:t>
      </w:r>
    </w:p>
    <w:p>
      <w:pPr>
        <w:ind w:firstLine="640" w:firstLineChars="200"/>
        <w:rPr>
          <w:rFonts w:hint="eastAsia" w:ascii="方正黑体_GBK" w:hAnsi="宋体"/>
          <w:sz w:val="32"/>
          <w:szCs w:val="32"/>
        </w:rPr>
      </w:pPr>
      <w:r>
        <w:rPr>
          <w:rFonts w:hint="eastAsia" w:ascii="宋体" w:hAnsi="宋体"/>
          <w:sz w:val="32"/>
          <w:szCs w:val="32"/>
        </w:rPr>
        <w:t>市经信局部门机构设置情况</w:t>
      </w:r>
    </w:p>
    <w:p>
      <w:pPr>
        <w:ind w:firstLine="640" w:firstLineChars="200"/>
        <w:rPr>
          <w:rFonts w:hint="eastAsia" w:ascii="仿宋" w:hAnsi="仿宋" w:eastAsia="仿宋"/>
          <w:sz w:val="32"/>
          <w:szCs w:val="32"/>
        </w:rPr>
      </w:pPr>
      <w:r>
        <w:rPr>
          <w:rFonts w:hint="eastAsia" w:ascii="仿宋" w:hAnsi="仿宋" w:eastAsia="仿宋"/>
          <w:sz w:val="32"/>
          <w:szCs w:val="32"/>
        </w:rPr>
        <w:t>2023年度决算公开包括以下科室数据：经信局内设7个内设机构（正科级）1、办公室2、发展规划科（节能环保科、经济运行科）3、数字经济和信息化科（市国防动员委员会信息动员办公室）4、中小企业科（产业园区发展科、市国防科技工业办公室）、5、原材料消费品工业中心、大数据中心、财务室。</w:t>
      </w:r>
    </w:p>
    <w:p>
      <w:pPr>
        <w:ind w:firstLine="640" w:firstLineChars="200"/>
        <w:rPr>
          <w:rFonts w:hint="eastAsia" w:ascii="仿宋" w:hAnsi="仿宋" w:eastAsia="仿宋"/>
          <w:sz w:val="32"/>
          <w:szCs w:val="32"/>
        </w:rPr>
      </w:pPr>
      <w:r>
        <w:rPr>
          <w:rFonts w:hint="eastAsia" w:ascii="仿宋" w:hAnsi="仿宋" w:eastAsia="仿宋"/>
          <w:sz w:val="32"/>
          <w:szCs w:val="32"/>
        </w:rPr>
        <w:t>我局行政编制13名，部门领导职数5名、科级领导职数8名、参照公务员编制及事业编制人数15名。2023年底在职职工人数为29人，其中：公务员及参照公务员22人；事业人员：7人。</w:t>
      </w:r>
    </w:p>
    <w:p>
      <w:pPr>
        <w:spacing w:line="578" w:lineRule="exact"/>
        <w:ind w:firstLine="640" w:firstLineChars="200"/>
        <w:rPr>
          <w:rFonts w:hint="eastAsia" w:ascii="仿宋" w:hAnsi="仿宋" w:eastAsia="仿宋"/>
          <w:sz w:val="32"/>
          <w:szCs w:val="32"/>
        </w:rPr>
      </w:pPr>
    </w:p>
    <w:p>
      <w:pPr>
        <w:spacing w:line="578" w:lineRule="exact"/>
        <w:ind w:firstLine="640" w:firstLineChars="200"/>
        <w:rPr>
          <w:rFonts w:hint="eastAsia" w:ascii="仿宋_GB2312" w:hAnsi="ˎ̥" w:eastAsia="仿宋_GB2312"/>
          <w:sz w:val="32"/>
          <w:szCs w:val="32"/>
        </w:rPr>
      </w:pPr>
    </w:p>
    <w:p>
      <w:pPr>
        <w:spacing w:line="578" w:lineRule="exact"/>
        <w:ind w:firstLine="640" w:firstLineChars="200"/>
        <w:rPr>
          <w:rFonts w:hint="eastAsia" w:ascii="方正楷体_GBK" w:hAnsi="方正楷体_GBK" w:eastAsia="方正楷体_GBK" w:cs="方正楷体_GBK"/>
          <w:sz w:val="32"/>
          <w:szCs w:val="32"/>
        </w:rPr>
      </w:pPr>
      <w:bookmarkStart w:id="19" w:name="_Toc25738_WPSOffice_Level2"/>
      <w:bookmarkStart w:id="20" w:name="_Toc24421_WPSOffice_Level2"/>
      <w:r>
        <w:rPr>
          <w:rFonts w:hint="eastAsia" w:ascii="方正楷体_GBK" w:hAnsi="方正楷体_GBK" w:eastAsia="方正楷体_GBK" w:cs="方正楷体_GBK"/>
          <w:sz w:val="32"/>
          <w:szCs w:val="32"/>
        </w:rPr>
        <w:t>（一）那曲市经济和信息化局部门本级</w:t>
      </w:r>
      <w:bookmarkEnd w:id="19"/>
      <w:bookmarkEnd w:id="20"/>
    </w:p>
    <w:p>
      <w:pPr>
        <w:spacing w:line="578" w:lineRule="exact"/>
        <w:jc w:val="center"/>
        <w:rPr>
          <w:rFonts w:hint="eastAsia" w:ascii="黑体" w:hAnsi="ˎ̥" w:eastAsia="黑体"/>
          <w:sz w:val="32"/>
          <w:szCs w:val="32"/>
        </w:rPr>
      </w:pPr>
      <w:bookmarkStart w:id="21" w:name="_Toc28253_WPSOffice_Level1"/>
      <w:bookmarkStart w:id="22" w:name="_Toc30451_WPSOffice_Level1"/>
      <w:bookmarkStart w:id="23" w:name="_Toc6234_WPSOffice_Level1"/>
      <w:bookmarkStart w:id="24" w:name="_Toc15521_WPSOffice_Level1"/>
      <w:bookmarkStart w:id="25" w:name="_Toc30690_WPSOffice_Level1"/>
      <w:bookmarkStart w:id="26" w:name="_Toc8164_WPSOffice_Level1"/>
      <w:bookmarkStart w:id="27" w:name="_Toc6211_WPSOffice_Level2"/>
      <w:bookmarkStart w:id="28" w:name="_Toc4029_WPSOffice_Level2"/>
      <w:bookmarkStart w:id="29" w:name="_Toc32472_WPSOffice_Level2"/>
      <w:bookmarkStart w:id="30" w:name="_Toc32695_WPSOffice_Level2"/>
      <w:bookmarkStart w:id="31" w:name="_Toc8867_WPSOffice_Level2"/>
      <w:bookmarkStart w:id="32" w:name="_Toc11518_WPSOffice_Level2"/>
    </w:p>
    <w:p>
      <w:pPr>
        <w:spacing w:line="578" w:lineRule="exact"/>
        <w:jc w:val="center"/>
        <w:rPr>
          <w:rFonts w:hint="eastAsia" w:ascii="黑体" w:hAnsi="ˎ̥" w:eastAsia="黑体"/>
          <w:sz w:val="32"/>
          <w:szCs w:val="32"/>
        </w:rPr>
      </w:pPr>
      <w:r>
        <w:rPr>
          <w:rFonts w:hint="eastAsia" w:ascii="黑体" w:hAnsi="ˎ̥" w:eastAsia="黑体"/>
          <w:sz w:val="32"/>
          <w:szCs w:val="32"/>
        </w:rPr>
        <w:t>第二部分  202</w:t>
      </w:r>
      <w:r>
        <w:rPr>
          <w:rFonts w:ascii="黑体" w:hAnsi="ˎ̥" w:eastAsia="黑体"/>
          <w:sz w:val="32"/>
          <w:szCs w:val="32"/>
        </w:rPr>
        <w:t>3</w:t>
      </w:r>
      <w:r>
        <w:rPr>
          <w:rFonts w:hint="eastAsia" w:ascii="黑体" w:hAnsi="ˎ̥" w:eastAsia="黑体"/>
          <w:sz w:val="32"/>
          <w:szCs w:val="32"/>
        </w:rPr>
        <w:t>年度部门决算公开报表</w:t>
      </w:r>
      <w:bookmarkEnd w:id="21"/>
      <w:bookmarkEnd w:id="22"/>
      <w:bookmarkEnd w:id="23"/>
      <w:bookmarkEnd w:id="24"/>
      <w:bookmarkEnd w:id="25"/>
      <w:bookmarkEnd w:id="26"/>
    </w:p>
    <w:p>
      <w:pPr>
        <w:spacing w:line="578" w:lineRule="exact"/>
        <w:jc w:val="center"/>
        <w:rPr>
          <w:rFonts w:hint="eastAsia" w:ascii="黑体" w:hAnsi="ˎ̥" w:eastAsia="黑体"/>
          <w:sz w:val="32"/>
          <w:szCs w:val="32"/>
        </w:rPr>
      </w:pPr>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一、收入支出决算公开表</w:t>
      </w:r>
      <w:bookmarkEnd w:id="27"/>
      <w:bookmarkEnd w:id="28"/>
      <w:bookmarkEnd w:id="29"/>
      <w:bookmarkEnd w:id="30"/>
      <w:bookmarkEnd w:id="31"/>
      <w:bookmarkEnd w:id="32"/>
    </w:p>
    <w:p>
      <w:pPr>
        <w:spacing w:line="578" w:lineRule="exact"/>
        <w:ind w:firstLine="645"/>
        <w:rPr>
          <w:rFonts w:hint="eastAsia" w:ascii="黑体" w:hAnsi="黑体" w:eastAsia="黑体" w:cs="黑体"/>
          <w:sz w:val="32"/>
          <w:szCs w:val="32"/>
        </w:rPr>
      </w:pPr>
      <w:bookmarkStart w:id="33" w:name="_Toc30334_WPSOffice_Level2"/>
      <w:bookmarkStart w:id="34" w:name="_Toc23139_WPSOffice_Level2"/>
      <w:bookmarkStart w:id="35" w:name="_Toc25608_WPSOffice_Level2"/>
      <w:bookmarkStart w:id="36" w:name="_Toc26621_WPSOffice_Level2"/>
      <w:bookmarkStart w:id="37" w:name="_Toc28622_WPSOffice_Level2"/>
      <w:bookmarkStart w:id="38" w:name="_Toc14349_WPSOffice_Level2"/>
      <w:r>
        <w:rPr>
          <w:rFonts w:hint="eastAsia" w:ascii="黑体" w:hAnsi="黑体" w:eastAsia="黑体" w:cs="黑体"/>
          <w:sz w:val="32"/>
          <w:szCs w:val="32"/>
        </w:rPr>
        <w:t>二、收入决算公开表</w:t>
      </w:r>
      <w:bookmarkEnd w:id="33"/>
      <w:bookmarkEnd w:id="34"/>
      <w:bookmarkEnd w:id="35"/>
      <w:bookmarkEnd w:id="36"/>
      <w:bookmarkEnd w:id="37"/>
      <w:bookmarkEnd w:id="38"/>
      <w:bookmarkStart w:id="39" w:name="_Toc17626_WPSOffice_Level2"/>
      <w:bookmarkStart w:id="40" w:name="_Toc17858_WPSOffice_Level2"/>
      <w:bookmarkStart w:id="41" w:name="_Toc3262_WPSOffice_Level2"/>
      <w:bookmarkStart w:id="42" w:name="_Toc14658_WPSOffice_Level2"/>
      <w:bookmarkStart w:id="43" w:name="_Toc5489_WPSOffice_Level2"/>
      <w:bookmarkStart w:id="44" w:name="_Toc13854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三、支出决算公开表</w:t>
      </w:r>
      <w:bookmarkEnd w:id="39"/>
      <w:bookmarkEnd w:id="40"/>
      <w:bookmarkEnd w:id="41"/>
      <w:bookmarkEnd w:id="42"/>
      <w:bookmarkEnd w:id="43"/>
      <w:bookmarkEnd w:id="44"/>
      <w:bookmarkStart w:id="45" w:name="_Toc23493_WPSOffice_Level2"/>
      <w:bookmarkStart w:id="46" w:name="_Toc4265_WPSOffice_Level2"/>
      <w:bookmarkStart w:id="47" w:name="_Toc23591_WPSOffice_Level2"/>
      <w:bookmarkStart w:id="48" w:name="_Toc7988_WPSOffice_Level2"/>
      <w:bookmarkStart w:id="49" w:name="_Toc21415_WPSOffice_Level2"/>
      <w:bookmarkStart w:id="50" w:name="_Toc13701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四、财政拨款收入支出决算公开表</w:t>
      </w:r>
      <w:bookmarkEnd w:id="45"/>
      <w:bookmarkEnd w:id="46"/>
      <w:bookmarkEnd w:id="47"/>
      <w:bookmarkEnd w:id="48"/>
      <w:bookmarkEnd w:id="49"/>
      <w:bookmarkEnd w:id="50"/>
    </w:p>
    <w:p>
      <w:pPr>
        <w:spacing w:line="578" w:lineRule="exact"/>
        <w:ind w:firstLine="645"/>
        <w:rPr>
          <w:rFonts w:hint="eastAsia" w:ascii="黑体" w:hAnsi="黑体" w:eastAsia="黑体" w:cs="黑体"/>
          <w:sz w:val="32"/>
          <w:szCs w:val="32"/>
        </w:rPr>
      </w:pPr>
      <w:bookmarkStart w:id="51" w:name="_Toc22783_WPSOffice_Level2"/>
      <w:bookmarkStart w:id="52" w:name="_Toc7879_WPSOffice_Level2"/>
      <w:bookmarkStart w:id="53" w:name="_Toc25166_WPSOffice_Level2"/>
      <w:bookmarkStart w:id="54" w:name="_Toc23829_WPSOffice_Level2"/>
      <w:bookmarkStart w:id="55" w:name="_Toc2158_WPSOffice_Level2"/>
      <w:bookmarkStart w:id="56" w:name="_Toc13516_WPSOffice_Level2"/>
      <w:r>
        <w:rPr>
          <w:rFonts w:hint="eastAsia" w:ascii="黑体" w:hAnsi="黑体" w:eastAsia="黑体" w:cs="黑体"/>
          <w:sz w:val="32"/>
          <w:szCs w:val="32"/>
        </w:rPr>
        <w:t>五、一般公共预算财政拨款收入支出决算</w:t>
      </w:r>
      <w:bookmarkEnd w:id="51"/>
      <w:bookmarkEnd w:id="52"/>
      <w:bookmarkEnd w:id="53"/>
      <w:bookmarkEnd w:id="54"/>
      <w:r>
        <w:rPr>
          <w:rFonts w:hint="eastAsia" w:ascii="黑体" w:hAnsi="黑体" w:eastAsia="黑体" w:cs="黑体"/>
          <w:sz w:val="32"/>
          <w:szCs w:val="32"/>
        </w:rPr>
        <w:t>公开表</w:t>
      </w:r>
      <w:bookmarkEnd w:id="55"/>
      <w:bookmarkEnd w:id="56"/>
      <w:bookmarkStart w:id="57" w:name="_Toc2632_WPSOffice_Level2"/>
      <w:bookmarkStart w:id="58" w:name="_Toc25362_WPSOffice_Level2"/>
      <w:bookmarkStart w:id="59" w:name="_Toc17283_WPSOffice_Level2"/>
      <w:bookmarkStart w:id="60" w:name="_Toc17833_WPSOffice_Level2"/>
      <w:bookmarkStart w:id="61" w:name="_Toc8373_WPSOffice_Level2"/>
      <w:bookmarkStart w:id="62" w:name="_Toc5343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六、一般公共预算财政拨款基本支出决算</w:t>
      </w:r>
      <w:bookmarkEnd w:id="57"/>
      <w:bookmarkEnd w:id="58"/>
      <w:bookmarkEnd w:id="59"/>
      <w:bookmarkEnd w:id="60"/>
      <w:bookmarkEnd w:id="61"/>
      <w:bookmarkEnd w:id="62"/>
      <w:r>
        <w:rPr>
          <w:rFonts w:hint="eastAsia" w:ascii="黑体" w:hAnsi="黑体" w:eastAsia="黑体" w:cs="黑体"/>
          <w:sz w:val="32"/>
          <w:szCs w:val="32"/>
        </w:rPr>
        <w:t>公开表</w:t>
      </w:r>
    </w:p>
    <w:p>
      <w:pPr>
        <w:spacing w:line="578" w:lineRule="exact"/>
        <w:ind w:left="1118" w:leftChars="304" w:hanging="480" w:hangingChars="150"/>
        <w:rPr>
          <w:rFonts w:hint="eastAsia" w:ascii="黑体" w:hAnsi="黑体" w:eastAsia="黑体" w:cs="黑体"/>
          <w:sz w:val="32"/>
          <w:szCs w:val="32"/>
        </w:rPr>
      </w:pPr>
      <w:bookmarkStart w:id="63" w:name="_Toc11799_WPSOffice_Level2"/>
      <w:bookmarkStart w:id="64" w:name="_Toc13345_WPSOffice_Level2"/>
      <w:bookmarkStart w:id="65" w:name="_Toc1533_WPSOffice_Level2"/>
      <w:bookmarkStart w:id="66" w:name="_Toc5594_WPSOffice_Level2"/>
      <w:bookmarkStart w:id="67" w:name="_Toc21310_WPSOffice_Level2"/>
      <w:bookmarkStart w:id="68" w:name="_Toc6020_WPSOffice_Level2"/>
      <w:r>
        <w:rPr>
          <w:rFonts w:hint="eastAsia" w:ascii="黑体" w:hAnsi="黑体" w:eastAsia="黑体" w:cs="黑体"/>
          <w:sz w:val="32"/>
          <w:szCs w:val="32"/>
        </w:rPr>
        <w:t>七、政府性基金预算财政拨款收入支出决算</w:t>
      </w:r>
      <w:bookmarkEnd w:id="63"/>
      <w:bookmarkEnd w:id="64"/>
      <w:bookmarkEnd w:id="65"/>
      <w:bookmarkEnd w:id="66"/>
      <w:bookmarkEnd w:id="67"/>
      <w:bookmarkEnd w:id="68"/>
      <w:r>
        <w:rPr>
          <w:rFonts w:hint="eastAsia" w:ascii="黑体" w:hAnsi="黑体" w:eastAsia="黑体" w:cs="黑体"/>
          <w:sz w:val="32"/>
          <w:szCs w:val="32"/>
        </w:rPr>
        <w:t>公开表</w:t>
      </w:r>
    </w:p>
    <w:p>
      <w:pPr>
        <w:spacing w:line="578" w:lineRule="exact"/>
        <w:ind w:left="1118" w:leftChars="304" w:hanging="480" w:hangingChars="150"/>
        <w:rPr>
          <w:rFonts w:hint="eastAsia" w:ascii="黑体" w:hAnsi="黑体" w:eastAsia="黑体" w:cs="黑体"/>
          <w:sz w:val="32"/>
          <w:szCs w:val="32"/>
        </w:rPr>
      </w:pPr>
      <w:r>
        <w:rPr>
          <w:rFonts w:hint="eastAsia" w:ascii="黑体" w:hAnsi="黑体" w:eastAsia="黑体" w:cs="黑体"/>
          <w:sz w:val="32"/>
          <w:szCs w:val="32"/>
        </w:rPr>
        <w:t>八、国有资本经营预算财政拨款收入支出决算公开表</w:t>
      </w:r>
    </w:p>
    <w:p>
      <w:pPr>
        <w:spacing w:line="578" w:lineRule="exact"/>
        <w:ind w:firstLine="640"/>
        <w:rPr>
          <w:rFonts w:hint="eastAsia" w:ascii="黑体" w:hAnsi="黑体" w:eastAsia="黑体" w:cs="黑体"/>
          <w:sz w:val="32"/>
          <w:szCs w:val="32"/>
        </w:rPr>
      </w:pPr>
      <w:bookmarkStart w:id="69" w:name="_Toc1820_WPSOffice_Level2"/>
      <w:bookmarkStart w:id="70" w:name="_Toc9377_WPSOffice_Level2"/>
      <w:bookmarkStart w:id="71" w:name="_Toc19961_WPSOffice_Level2"/>
      <w:bookmarkStart w:id="72" w:name="_Toc29886_WPSOffice_Level2"/>
      <w:r>
        <w:rPr>
          <w:rFonts w:hint="eastAsia" w:ascii="黑体" w:hAnsi="黑体" w:eastAsia="黑体" w:cs="黑体"/>
          <w:sz w:val="32"/>
          <w:szCs w:val="32"/>
        </w:rPr>
        <w:t>九、财政拨款“三公”经费支出决算</w:t>
      </w:r>
      <w:bookmarkEnd w:id="69"/>
      <w:bookmarkEnd w:id="70"/>
      <w:bookmarkEnd w:id="71"/>
      <w:bookmarkEnd w:id="72"/>
      <w:r>
        <w:rPr>
          <w:rFonts w:hint="eastAsia" w:ascii="黑体" w:hAnsi="黑体" w:eastAsia="黑体" w:cs="黑体"/>
          <w:sz w:val="32"/>
          <w:szCs w:val="32"/>
        </w:rPr>
        <w:t>公开表</w:t>
      </w:r>
    </w:p>
    <w:p>
      <w:pPr>
        <w:spacing w:line="578" w:lineRule="exact"/>
        <w:ind w:firstLine="640"/>
        <w:rPr>
          <w:rFonts w:hint="eastAsia" w:ascii="黑体" w:hAnsi="黑体" w:eastAsia="黑体" w:cs="黑体"/>
          <w:sz w:val="32"/>
          <w:szCs w:val="32"/>
        </w:rPr>
      </w:pPr>
      <w:r>
        <w:rPr>
          <w:rFonts w:hint="eastAsia" w:ascii="黑体" w:hAnsi="黑体" w:eastAsia="黑体" w:cs="黑体"/>
          <w:w w:val="96"/>
          <w:sz w:val="32"/>
          <w:szCs w:val="32"/>
        </w:rPr>
        <w:t xml:space="preserve">以上报表见附件1。   </w:t>
      </w:r>
    </w:p>
    <w:p>
      <w:pPr>
        <w:spacing w:line="578" w:lineRule="exact"/>
        <w:jc w:val="center"/>
        <w:rPr>
          <w:rFonts w:hint="eastAsia" w:ascii="黑体" w:hAnsi="ˎ̥" w:eastAsia="黑体"/>
          <w:sz w:val="32"/>
          <w:szCs w:val="32"/>
        </w:rPr>
      </w:pPr>
      <w:bookmarkStart w:id="73" w:name="_Toc4402_WPSOffice_Level1"/>
      <w:bookmarkStart w:id="74" w:name="_Toc16686_WPSOffice_Level1"/>
      <w:bookmarkStart w:id="75" w:name="_Toc29683_WPSOffice_Level1"/>
      <w:bookmarkStart w:id="76" w:name="_Toc28629_WPSOffice_Level1"/>
      <w:bookmarkStart w:id="77" w:name="_Toc31264_WPSOffice_Level1"/>
      <w:bookmarkStart w:id="78" w:name="_Toc27590_WPSOffice_Level1"/>
    </w:p>
    <w:p>
      <w:pPr>
        <w:spacing w:line="578" w:lineRule="exact"/>
        <w:jc w:val="center"/>
        <w:rPr>
          <w:rFonts w:hint="eastAsia" w:ascii="黑体" w:hAnsi="ˎ̥" w:eastAsia="黑体"/>
          <w:sz w:val="32"/>
          <w:szCs w:val="32"/>
        </w:rPr>
      </w:pPr>
      <w:r>
        <w:rPr>
          <w:rFonts w:hint="eastAsia" w:ascii="黑体" w:hAnsi="ˎ̥" w:eastAsia="黑体"/>
          <w:sz w:val="32"/>
          <w:szCs w:val="32"/>
        </w:rPr>
        <w:t>第三部分  202</w:t>
      </w:r>
      <w:r>
        <w:rPr>
          <w:rFonts w:ascii="黑体" w:hAnsi="ˎ̥" w:eastAsia="黑体"/>
          <w:sz w:val="32"/>
          <w:szCs w:val="32"/>
        </w:rPr>
        <w:t>3</w:t>
      </w:r>
      <w:r>
        <w:rPr>
          <w:rFonts w:hint="eastAsia" w:ascii="黑体" w:hAnsi="ˎ̥" w:eastAsia="黑体"/>
          <w:sz w:val="32"/>
          <w:szCs w:val="32"/>
        </w:rPr>
        <w:t>年度部门决算情况说明</w:t>
      </w:r>
      <w:bookmarkEnd w:id="73"/>
      <w:bookmarkEnd w:id="74"/>
      <w:bookmarkEnd w:id="75"/>
      <w:bookmarkEnd w:id="76"/>
      <w:bookmarkEnd w:id="77"/>
      <w:bookmarkEnd w:id="78"/>
    </w:p>
    <w:p>
      <w:pPr>
        <w:spacing w:line="578" w:lineRule="exact"/>
        <w:jc w:val="center"/>
        <w:rPr>
          <w:rFonts w:hint="eastAsia" w:ascii="黑体" w:hAnsi="ˎ̥" w:eastAsia="黑体"/>
          <w:sz w:val="32"/>
          <w:szCs w:val="32"/>
        </w:rPr>
      </w:pPr>
    </w:p>
    <w:p>
      <w:pPr>
        <w:spacing w:line="578" w:lineRule="exact"/>
        <w:ind w:firstLine="640" w:firstLineChars="200"/>
        <w:rPr>
          <w:rFonts w:hint="eastAsia" w:ascii="黑体" w:hAnsi="黑体" w:eastAsia="黑体" w:cs="黑体"/>
          <w:bCs/>
          <w:sz w:val="32"/>
          <w:szCs w:val="32"/>
        </w:rPr>
      </w:pPr>
    </w:p>
    <w:p>
      <w:pPr>
        <w:spacing w:line="578" w:lineRule="exact"/>
        <w:ind w:firstLine="640" w:firstLineChars="200"/>
        <w:rPr>
          <w:rFonts w:ascii="仿宋_GB2312" w:hAnsi="ˎ̥" w:eastAsia="仿宋_GB2312"/>
          <w:sz w:val="32"/>
          <w:szCs w:val="32"/>
        </w:rPr>
      </w:pPr>
      <w:r>
        <w:rPr>
          <w:rFonts w:hint="eastAsia" w:ascii="黑体" w:hAnsi="黑体" w:eastAsia="黑体" w:cs="黑体"/>
          <w:bCs/>
          <w:sz w:val="32"/>
          <w:szCs w:val="32"/>
        </w:rPr>
        <w:t>一、收入支出总体情况说明</w:t>
      </w:r>
      <w:r>
        <w:rPr>
          <w:rFonts w:hint="eastAsia" w:ascii="黑体" w:hAnsi="黑体" w:eastAsia="黑体" w:cs="黑体"/>
          <w:bCs/>
          <w:sz w:val="32"/>
          <w:szCs w:val="32"/>
        </w:rPr>
        <w:br w:type="textWrapping"/>
      </w:r>
      <w:r>
        <w:rPr>
          <w:rFonts w:hint="eastAsia" w:ascii="楷体_GB2312" w:hAnsi="ˎ̥" w:eastAsia="楷体_GB2312"/>
          <w:sz w:val="32"/>
          <w:szCs w:val="32"/>
        </w:rPr>
        <w:t xml:space="preserve">    </w:t>
      </w: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年度收入总计</w:t>
      </w:r>
      <w:r>
        <w:rPr>
          <w:rFonts w:ascii="仿宋_GB2312" w:hAnsi="ˎ̥" w:eastAsia="仿宋_GB2312"/>
          <w:sz w:val="32"/>
          <w:szCs w:val="32"/>
        </w:rPr>
        <w:t>3,775.10</w:t>
      </w:r>
      <w:r>
        <w:rPr>
          <w:rFonts w:hint="eastAsia" w:ascii="仿宋_GB2312" w:hAnsi="ˎ̥" w:eastAsia="仿宋_GB2312"/>
          <w:sz w:val="32"/>
          <w:szCs w:val="32"/>
        </w:rPr>
        <w:t>万元，支出总计</w:t>
      </w:r>
      <w:r>
        <w:rPr>
          <w:rFonts w:ascii="仿宋_GB2312" w:hAnsi="ˎ̥" w:eastAsia="仿宋_GB2312"/>
          <w:sz w:val="32"/>
          <w:szCs w:val="32"/>
        </w:rPr>
        <w:t>3,775.10</w:t>
      </w:r>
      <w:r>
        <w:rPr>
          <w:rFonts w:hint="eastAsia" w:ascii="仿宋_GB2312" w:hAnsi="ˎ̥" w:eastAsia="仿宋_GB2312"/>
          <w:sz w:val="32"/>
          <w:szCs w:val="32"/>
        </w:rPr>
        <w:t>万元，与202</w:t>
      </w:r>
      <w:r>
        <w:rPr>
          <w:rFonts w:ascii="仿宋_GB2312" w:hAnsi="ˎ̥" w:eastAsia="仿宋_GB2312"/>
          <w:sz w:val="32"/>
          <w:szCs w:val="32"/>
        </w:rPr>
        <w:t>2</w:t>
      </w:r>
      <w:r>
        <w:rPr>
          <w:rFonts w:hint="eastAsia" w:ascii="仿宋_GB2312" w:hAnsi="ˎ̥" w:eastAsia="仿宋_GB2312"/>
          <w:sz w:val="32"/>
          <w:szCs w:val="32"/>
        </w:rPr>
        <w:t>年度相比，收入、支出总计各减少1,202.32万元，下降31.85%。主要原因：减少</w:t>
      </w:r>
      <w:r>
        <w:rPr>
          <w:rFonts w:hint="eastAsia" w:ascii="仿宋" w:hAnsi="仿宋" w:eastAsia="仿宋"/>
          <w:sz w:val="32"/>
          <w:szCs w:val="32"/>
        </w:rPr>
        <w:t>疫情防控物资采购经费</w:t>
      </w:r>
      <w:r>
        <w:rPr>
          <w:rFonts w:hint="eastAsia" w:ascii="仿宋_GB2312" w:hAnsi="ˎ̥" w:eastAsia="仿宋_GB2312"/>
          <w:sz w:val="32"/>
          <w:szCs w:val="32"/>
        </w:rPr>
        <w:t>。</w:t>
      </w:r>
    </w:p>
    <w:p>
      <w:pPr>
        <w:spacing w:line="578" w:lineRule="exact"/>
        <w:ind w:firstLine="640" w:firstLineChars="200"/>
        <w:rPr>
          <w:rFonts w:ascii="楷体" w:hAnsi="楷体" w:eastAsia="楷体" w:cs="楷体"/>
          <w:sz w:val="32"/>
          <w:szCs w:val="32"/>
        </w:rPr>
      </w:pPr>
      <w:r>
        <w:rPr>
          <w:rFonts w:hint="eastAsia" w:ascii="楷体" w:hAnsi="楷体" w:eastAsia="楷体" w:cs="楷体"/>
          <w:sz w:val="32"/>
          <w:szCs w:val="32"/>
        </w:rPr>
        <w:t>（一</w:t>
      </w:r>
      <w:r>
        <w:rPr>
          <w:rFonts w:ascii="楷体" w:hAnsi="楷体" w:eastAsia="楷体" w:cs="楷体"/>
          <w:sz w:val="32"/>
          <w:szCs w:val="32"/>
        </w:rPr>
        <w:t>）</w:t>
      </w:r>
      <w:r>
        <w:rPr>
          <w:rFonts w:hint="eastAsia" w:ascii="楷体" w:hAnsi="楷体" w:eastAsia="楷体" w:cs="楷体"/>
          <w:sz w:val="32"/>
          <w:szCs w:val="32"/>
        </w:rPr>
        <w:t>收入</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r>
        <w:rPr>
          <w:rFonts w:hint="eastAsia" w:ascii="楷体" w:hAnsi="楷体" w:eastAsia="楷体" w:cs="楷体"/>
          <w:sz w:val="32"/>
          <w:szCs w:val="32"/>
        </w:rPr>
        <w:t>。</w:t>
      </w:r>
    </w:p>
    <w:p>
      <w:pPr>
        <w:spacing w:line="578" w:lineRule="exact"/>
        <w:ind w:firstLine="640" w:firstLineChars="200"/>
        <w:rPr>
          <w:rFonts w:ascii="仿宋_GB2312" w:hAnsi="ˎ̥" w:eastAsia="仿宋_GB2312"/>
          <w:sz w:val="32"/>
          <w:szCs w:val="32"/>
        </w:rPr>
      </w:pPr>
      <w:r>
        <w:rPr>
          <w:rFonts w:hint="eastAsia" w:ascii="仿宋_GB2312" w:hAnsi="ˎ̥" w:eastAsia="仿宋_GB2312"/>
          <w:sz w:val="32"/>
          <w:szCs w:val="32"/>
        </w:rPr>
        <w:t>本年</w:t>
      </w:r>
      <w:r>
        <w:rPr>
          <w:rFonts w:ascii="仿宋_GB2312" w:hAnsi="ˎ̥" w:eastAsia="仿宋_GB2312"/>
          <w:sz w:val="32"/>
          <w:szCs w:val="32"/>
        </w:rPr>
        <w:t>收入3,775.10</w:t>
      </w:r>
      <w:r>
        <w:rPr>
          <w:rFonts w:hint="eastAsia" w:ascii="仿宋_GB2312" w:hAnsi="ˎ̥" w:eastAsia="仿宋_GB2312"/>
          <w:sz w:val="32"/>
          <w:szCs w:val="32"/>
        </w:rPr>
        <w:t>万元。</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使用非财政拨款结余0万元。</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年初结转结余</w:t>
      </w:r>
      <w:r>
        <w:rPr>
          <w:rFonts w:ascii="仿宋_GB2312" w:hAnsi="ˎ̥" w:eastAsia="仿宋_GB2312"/>
          <w:sz w:val="32"/>
          <w:szCs w:val="32"/>
        </w:rPr>
        <w:t>0</w:t>
      </w:r>
      <w:r>
        <w:rPr>
          <w:rFonts w:hint="eastAsia" w:ascii="仿宋_GB2312" w:hAnsi="ˎ̥" w:eastAsia="仿宋_GB2312"/>
          <w:sz w:val="32"/>
          <w:szCs w:val="32"/>
        </w:rPr>
        <w:t>万元。</w:t>
      </w:r>
    </w:p>
    <w:p>
      <w:pPr>
        <w:spacing w:line="578" w:lineRule="exact"/>
        <w:ind w:firstLine="640" w:firstLineChars="200"/>
        <w:rPr>
          <w:rFonts w:ascii="楷体" w:hAnsi="楷体" w:eastAsia="楷体" w:cs="楷体"/>
          <w:sz w:val="32"/>
          <w:szCs w:val="32"/>
        </w:rPr>
      </w:pPr>
      <w:r>
        <w:rPr>
          <w:rFonts w:hint="eastAsia" w:ascii="楷体" w:hAnsi="楷体" w:eastAsia="楷体" w:cs="楷体"/>
          <w:sz w:val="32"/>
          <w:szCs w:val="32"/>
        </w:rPr>
        <w:t>（二</w:t>
      </w:r>
      <w:r>
        <w:rPr>
          <w:rFonts w:ascii="楷体" w:hAnsi="楷体" w:eastAsia="楷体" w:cs="楷体"/>
          <w:sz w:val="32"/>
          <w:szCs w:val="32"/>
        </w:rPr>
        <w:t>）</w:t>
      </w:r>
      <w:r>
        <w:rPr>
          <w:rFonts w:hint="eastAsia" w:ascii="楷体" w:hAnsi="楷体" w:eastAsia="楷体" w:cs="楷体"/>
          <w:sz w:val="32"/>
          <w:szCs w:val="32"/>
        </w:rPr>
        <w:t>支出</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r>
        <w:rPr>
          <w:rFonts w:hint="eastAsia" w:ascii="楷体" w:hAnsi="楷体" w:eastAsia="楷体" w:cs="楷体"/>
          <w:sz w:val="32"/>
          <w:szCs w:val="32"/>
        </w:rPr>
        <w:t>。</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本年支出</w:t>
      </w:r>
      <w:r>
        <w:rPr>
          <w:rFonts w:ascii="仿宋_GB2312" w:hAnsi="ˎ̥" w:eastAsia="仿宋_GB2312"/>
          <w:sz w:val="32"/>
          <w:szCs w:val="32"/>
        </w:rPr>
        <w:t>3,775.10</w:t>
      </w:r>
      <w:r>
        <w:rPr>
          <w:rFonts w:hint="eastAsia" w:ascii="仿宋_GB2312" w:hAnsi="ˎ̥" w:eastAsia="仿宋_GB2312"/>
          <w:sz w:val="32"/>
          <w:szCs w:val="32"/>
        </w:rPr>
        <w:t>万元。</w:t>
      </w:r>
    </w:p>
    <w:p>
      <w:pPr>
        <w:ind w:firstLine="640" w:firstLineChars="200"/>
        <w:rPr>
          <w:rFonts w:ascii="仿宋_GB2312" w:hAnsi="ˎ̥" w:eastAsia="仿宋_GB2312"/>
          <w:sz w:val="32"/>
          <w:szCs w:val="32"/>
        </w:rPr>
      </w:pPr>
      <w:r>
        <w:rPr>
          <w:rFonts w:hint="eastAsia" w:ascii="仿宋_GB2312" w:hAnsi="ˎ̥" w:eastAsia="仿宋_GB2312"/>
          <w:sz w:val="32"/>
          <w:szCs w:val="32"/>
        </w:rPr>
        <w:t>主要是</w:t>
      </w:r>
      <w:r>
        <w:rPr>
          <w:rFonts w:hint="eastAsia" w:ascii="仿宋" w:hAnsi="仿宋" w:eastAsia="仿宋"/>
          <w:sz w:val="32"/>
          <w:szCs w:val="32"/>
        </w:rPr>
        <w:t>工资福利支出，商品和服务支出（含项目支出），对个人和家庭补助支出，其他支出（援藏三交经费支出）</w:t>
      </w:r>
      <w:r>
        <w:rPr>
          <w:rFonts w:hint="eastAsia" w:ascii="仿宋_GB2312" w:hAnsi="ˎ̥" w:eastAsia="仿宋_GB2312"/>
          <w:sz w:val="32"/>
          <w:szCs w:val="32"/>
        </w:rPr>
        <w:t>。较202</w:t>
      </w:r>
      <w:r>
        <w:rPr>
          <w:rFonts w:ascii="仿宋_GB2312" w:hAnsi="ˎ̥" w:eastAsia="仿宋_GB2312"/>
          <w:sz w:val="32"/>
          <w:szCs w:val="32"/>
        </w:rPr>
        <w:t>2</w:t>
      </w:r>
      <w:r>
        <w:rPr>
          <w:rFonts w:hint="eastAsia" w:ascii="仿宋_GB2312" w:hAnsi="ˎ̥" w:eastAsia="仿宋_GB2312"/>
          <w:sz w:val="32"/>
          <w:szCs w:val="32"/>
        </w:rPr>
        <w:t>年度决算数减少1,202.32万元，下降31.85%，主要原因是减少</w:t>
      </w:r>
      <w:r>
        <w:rPr>
          <w:rFonts w:hint="eastAsia" w:ascii="仿宋" w:hAnsi="仿宋" w:eastAsia="仿宋"/>
          <w:sz w:val="32"/>
          <w:szCs w:val="32"/>
        </w:rPr>
        <w:t>疫情防控物资采购经费</w:t>
      </w:r>
      <w:r>
        <w:rPr>
          <w:rFonts w:hint="eastAsia" w:ascii="仿宋_GB2312" w:hAnsi="ˎ̥" w:eastAsia="仿宋_GB2312"/>
          <w:sz w:val="32"/>
          <w:szCs w:val="32"/>
        </w:rPr>
        <w:t>。</w:t>
      </w:r>
    </w:p>
    <w:p>
      <w:pPr>
        <w:spacing w:line="578" w:lineRule="exact"/>
        <w:ind w:firstLine="640" w:firstLineChars="200"/>
        <w:rPr>
          <w:rFonts w:hint="eastAsia" w:ascii="仿宋_GB2312" w:hAnsi="ˎ̥" w:eastAsia="仿宋_GB2312"/>
          <w:sz w:val="32"/>
          <w:szCs w:val="32"/>
        </w:rPr>
      </w:pPr>
      <w:r>
        <w:rPr>
          <w:rFonts w:hint="eastAsia" w:ascii="黑体" w:hAnsi="黑体" w:eastAsia="黑体" w:cs="黑体"/>
          <w:bCs/>
          <w:sz w:val="32"/>
          <w:szCs w:val="32"/>
        </w:rPr>
        <w:t>二、收入决算情况说明</w:t>
      </w:r>
      <w:r>
        <w:rPr>
          <w:rFonts w:hint="eastAsia" w:ascii="黑体" w:hAnsi="黑体" w:eastAsia="黑体" w:cs="黑体"/>
          <w:bCs/>
          <w:sz w:val="32"/>
          <w:szCs w:val="32"/>
        </w:rPr>
        <w:br w:type="textWrapping"/>
      </w:r>
      <w:r>
        <w:rPr>
          <w:rFonts w:hint="eastAsia" w:ascii="仿宋_GB2312" w:hAnsi="ˎ̥" w:eastAsia="仿宋_GB2312"/>
          <w:sz w:val="32"/>
          <w:szCs w:val="32"/>
        </w:rPr>
        <w:t xml:space="preserve">    本年收入</w:t>
      </w:r>
      <w:r>
        <w:rPr>
          <w:rFonts w:ascii="仿宋_GB2312" w:hAnsi="ˎ̥" w:eastAsia="仿宋_GB2312"/>
          <w:sz w:val="32"/>
          <w:szCs w:val="32"/>
        </w:rPr>
        <w:t>3,775.10</w:t>
      </w:r>
      <w:r>
        <w:rPr>
          <w:rFonts w:hint="eastAsia" w:ascii="仿宋_GB2312" w:hAnsi="ˎ̥" w:eastAsia="仿宋_GB2312"/>
          <w:sz w:val="32"/>
          <w:szCs w:val="32"/>
        </w:rPr>
        <w:t>万元，其中：财政拨款收入</w:t>
      </w:r>
      <w:r>
        <w:rPr>
          <w:rFonts w:ascii="仿宋_GB2312" w:hAnsi="ˎ̥" w:eastAsia="仿宋_GB2312"/>
          <w:sz w:val="32"/>
          <w:szCs w:val="32"/>
        </w:rPr>
        <w:t>3,733.10</w:t>
      </w:r>
      <w:r>
        <w:rPr>
          <w:rFonts w:hint="eastAsia" w:ascii="仿宋_GB2312" w:hAnsi="ˎ̥" w:eastAsia="仿宋_GB2312"/>
          <w:sz w:val="32"/>
          <w:szCs w:val="32"/>
        </w:rPr>
        <w:t>万元，占98.9%；上级补助收入</w:t>
      </w:r>
      <w:r>
        <w:rPr>
          <w:rFonts w:ascii="仿宋_GB2312" w:hAnsi="ˎ̥" w:eastAsia="仿宋_GB2312"/>
          <w:sz w:val="32"/>
          <w:szCs w:val="32"/>
        </w:rPr>
        <w:t>0.00</w:t>
      </w:r>
      <w:r>
        <w:rPr>
          <w:rFonts w:hint="eastAsia" w:ascii="仿宋_GB2312" w:hAnsi="ˎ̥" w:eastAsia="仿宋_GB2312"/>
          <w:sz w:val="32"/>
          <w:szCs w:val="32"/>
        </w:rPr>
        <w:t>万元，占0%；事业收入</w:t>
      </w:r>
      <w:r>
        <w:rPr>
          <w:rFonts w:ascii="仿宋_GB2312" w:hAnsi="ˎ̥" w:eastAsia="仿宋_GB2312"/>
          <w:sz w:val="32"/>
          <w:szCs w:val="32"/>
        </w:rPr>
        <w:t>0.00</w:t>
      </w:r>
      <w:r>
        <w:rPr>
          <w:rFonts w:hint="eastAsia" w:ascii="仿宋_GB2312" w:hAnsi="ˎ̥" w:eastAsia="仿宋_GB2312"/>
          <w:sz w:val="32"/>
          <w:szCs w:val="32"/>
        </w:rPr>
        <w:t>万元，占0%；经营收入</w:t>
      </w:r>
      <w:r>
        <w:rPr>
          <w:rFonts w:ascii="仿宋_GB2312" w:hAnsi="ˎ̥" w:eastAsia="仿宋_GB2312"/>
          <w:sz w:val="32"/>
          <w:szCs w:val="32"/>
        </w:rPr>
        <w:t>0.00</w:t>
      </w:r>
      <w:r>
        <w:rPr>
          <w:rFonts w:hint="eastAsia" w:ascii="仿宋_GB2312" w:hAnsi="ˎ̥" w:eastAsia="仿宋_GB2312"/>
          <w:sz w:val="32"/>
          <w:szCs w:val="32"/>
        </w:rPr>
        <w:t>万元，占0%；附属单位上缴收入</w:t>
      </w:r>
      <w:r>
        <w:rPr>
          <w:rFonts w:ascii="仿宋_GB2312" w:hAnsi="ˎ̥" w:eastAsia="仿宋_GB2312"/>
          <w:sz w:val="32"/>
          <w:szCs w:val="32"/>
        </w:rPr>
        <w:t>0.00</w:t>
      </w:r>
      <w:r>
        <w:rPr>
          <w:rFonts w:hint="eastAsia" w:ascii="仿宋_GB2312" w:hAnsi="ˎ̥" w:eastAsia="仿宋_GB2312"/>
          <w:sz w:val="32"/>
          <w:szCs w:val="32"/>
        </w:rPr>
        <w:t>万元，占0%；其他支出收入</w:t>
      </w:r>
      <w:r>
        <w:rPr>
          <w:rFonts w:ascii="仿宋_GB2312" w:hAnsi="ˎ̥" w:eastAsia="仿宋_GB2312"/>
          <w:sz w:val="32"/>
          <w:szCs w:val="32"/>
        </w:rPr>
        <w:t>42.00</w:t>
      </w:r>
      <w:r>
        <w:rPr>
          <w:rFonts w:hint="eastAsia" w:ascii="仿宋_GB2312" w:hAnsi="ˎ̥" w:eastAsia="仿宋_GB2312"/>
          <w:sz w:val="32"/>
          <w:szCs w:val="32"/>
        </w:rPr>
        <w:t>万元，占1.1%。</w:t>
      </w:r>
    </w:p>
    <w:p>
      <w:pPr>
        <w:spacing w:line="578"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三、支出决算情况说明</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本年支出</w:t>
      </w:r>
      <w:r>
        <w:rPr>
          <w:rFonts w:ascii="仿宋_GB2312" w:hAnsi="ˎ̥" w:eastAsia="仿宋_GB2312"/>
          <w:sz w:val="32"/>
          <w:szCs w:val="32"/>
        </w:rPr>
        <w:t>3,775.10</w:t>
      </w:r>
      <w:r>
        <w:rPr>
          <w:rFonts w:hint="eastAsia" w:ascii="仿宋_GB2312" w:hAnsi="ˎ̥" w:eastAsia="仿宋_GB2312"/>
          <w:sz w:val="32"/>
          <w:szCs w:val="32"/>
        </w:rPr>
        <w:t>万元，其中：基本支出</w:t>
      </w:r>
      <w:r>
        <w:rPr>
          <w:rFonts w:ascii="仿宋_GB2312" w:hAnsi="ˎ̥" w:eastAsia="仿宋_GB2312"/>
          <w:sz w:val="32"/>
          <w:szCs w:val="32"/>
        </w:rPr>
        <w:t>1,171.79</w:t>
      </w:r>
      <w:r>
        <w:rPr>
          <w:rFonts w:hint="eastAsia" w:ascii="仿宋_GB2312" w:hAnsi="ˎ̥" w:eastAsia="仿宋_GB2312"/>
          <w:sz w:val="32"/>
          <w:szCs w:val="32"/>
        </w:rPr>
        <w:t>万元，占31.04%；项目支出</w:t>
      </w:r>
      <w:r>
        <w:rPr>
          <w:rFonts w:ascii="仿宋_GB2312" w:hAnsi="ˎ̥" w:eastAsia="仿宋_GB2312"/>
          <w:sz w:val="32"/>
          <w:szCs w:val="32"/>
        </w:rPr>
        <w:t>2,603.31</w:t>
      </w:r>
      <w:r>
        <w:rPr>
          <w:rFonts w:hint="eastAsia" w:ascii="仿宋_GB2312" w:hAnsi="ˎ̥" w:eastAsia="仿宋_GB2312"/>
          <w:sz w:val="32"/>
          <w:szCs w:val="32"/>
        </w:rPr>
        <w:t>万元，占68.96%；上缴上级支出</w:t>
      </w:r>
      <w:r>
        <w:rPr>
          <w:rFonts w:ascii="仿宋_GB2312" w:hAnsi="ˎ̥" w:eastAsia="仿宋_GB2312"/>
          <w:sz w:val="32"/>
          <w:szCs w:val="32"/>
        </w:rPr>
        <w:t>0.00</w:t>
      </w:r>
      <w:r>
        <w:rPr>
          <w:rFonts w:hint="eastAsia" w:ascii="仿宋_GB2312" w:hAnsi="ˎ̥" w:eastAsia="仿宋_GB2312"/>
          <w:sz w:val="32"/>
          <w:szCs w:val="32"/>
        </w:rPr>
        <w:t>万元，占0%；经营支出</w:t>
      </w:r>
      <w:r>
        <w:rPr>
          <w:rFonts w:ascii="仿宋_GB2312" w:hAnsi="ˎ̥" w:eastAsia="仿宋_GB2312"/>
          <w:sz w:val="32"/>
          <w:szCs w:val="32"/>
        </w:rPr>
        <w:t>0.00</w:t>
      </w:r>
      <w:r>
        <w:rPr>
          <w:rFonts w:hint="eastAsia" w:ascii="仿宋_GB2312" w:hAnsi="ˎ̥" w:eastAsia="仿宋_GB2312"/>
          <w:sz w:val="32"/>
          <w:szCs w:val="32"/>
        </w:rPr>
        <w:t>万元，占0%；对附属单位补助支出</w:t>
      </w:r>
      <w:r>
        <w:rPr>
          <w:rFonts w:ascii="仿宋_GB2312" w:hAnsi="ˎ̥" w:eastAsia="仿宋_GB2312"/>
          <w:sz w:val="32"/>
          <w:szCs w:val="32"/>
        </w:rPr>
        <w:t>0.00</w:t>
      </w:r>
      <w:r>
        <w:rPr>
          <w:rFonts w:hint="eastAsia" w:ascii="仿宋_GB2312" w:hAnsi="ˎ̥" w:eastAsia="仿宋_GB2312"/>
          <w:sz w:val="32"/>
          <w:szCs w:val="32"/>
        </w:rPr>
        <w:t>万元，占0%。</w:t>
      </w:r>
    </w:p>
    <w:p>
      <w:pPr>
        <w:spacing w:line="578"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四、财政拨款收入支出决算总体情况说明</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年度财政拨款收入</w:t>
      </w:r>
      <w:r>
        <w:rPr>
          <w:rFonts w:ascii="仿宋_GB2312" w:hAnsi="ˎ̥" w:eastAsia="仿宋_GB2312"/>
          <w:sz w:val="32"/>
          <w:szCs w:val="32"/>
        </w:rPr>
        <w:t>3,775.10</w:t>
      </w:r>
      <w:r>
        <w:rPr>
          <w:rFonts w:hint="eastAsia" w:ascii="仿宋_GB2312" w:hAnsi="ˎ̥" w:eastAsia="仿宋_GB2312"/>
          <w:sz w:val="32"/>
          <w:szCs w:val="32"/>
        </w:rPr>
        <w:t>万元，支出</w:t>
      </w:r>
      <w:r>
        <w:rPr>
          <w:rFonts w:ascii="仿宋_GB2312" w:hAnsi="ˎ̥" w:eastAsia="仿宋_GB2312"/>
          <w:sz w:val="32"/>
          <w:szCs w:val="32"/>
        </w:rPr>
        <w:t>3,775.10</w:t>
      </w:r>
      <w:r>
        <w:rPr>
          <w:rFonts w:hint="eastAsia" w:ascii="仿宋_GB2312" w:hAnsi="ˎ̥" w:eastAsia="仿宋_GB2312"/>
          <w:sz w:val="32"/>
          <w:szCs w:val="32"/>
        </w:rPr>
        <w:t>万元。与202</w:t>
      </w:r>
      <w:r>
        <w:rPr>
          <w:rFonts w:ascii="仿宋_GB2312" w:hAnsi="ˎ̥" w:eastAsia="仿宋_GB2312"/>
          <w:sz w:val="32"/>
          <w:szCs w:val="32"/>
        </w:rPr>
        <w:t>2</w:t>
      </w:r>
      <w:r>
        <w:rPr>
          <w:rFonts w:hint="eastAsia" w:ascii="仿宋_GB2312" w:hAnsi="ˎ̥" w:eastAsia="仿宋_GB2312"/>
          <w:sz w:val="32"/>
          <w:szCs w:val="32"/>
        </w:rPr>
        <w:t>年度相比，财政拨款收入减少1,202.32万元，下降31.85%，主要原因：减少</w:t>
      </w:r>
      <w:r>
        <w:rPr>
          <w:rFonts w:hint="eastAsia" w:ascii="仿宋" w:hAnsi="仿宋" w:eastAsia="仿宋"/>
          <w:sz w:val="32"/>
          <w:szCs w:val="32"/>
        </w:rPr>
        <w:t>疫情防控物资采购经费</w:t>
      </w:r>
      <w:r>
        <w:rPr>
          <w:rFonts w:hint="eastAsia" w:ascii="仿宋_GB2312" w:hAnsi="ˎ̥" w:eastAsia="仿宋_GB2312"/>
          <w:sz w:val="32"/>
          <w:szCs w:val="32"/>
        </w:rPr>
        <w:t>。支出减少1,202.32万元，下降31.85%，主要原因：减少</w:t>
      </w:r>
      <w:r>
        <w:rPr>
          <w:rFonts w:hint="eastAsia" w:ascii="仿宋" w:hAnsi="仿宋" w:eastAsia="仿宋"/>
          <w:sz w:val="32"/>
          <w:szCs w:val="32"/>
        </w:rPr>
        <w:t>疫情防控物资采购经费</w:t>
      </w:r>
      <w:r>
        <w:rPr>
          <w:rFonts w:hint="eastAsia" w:ascii="仿宋_GB2312" w:hAnsi="ˎ̥" w:eastAsia="仿宋_GB2312"/>
          <w:sz w:val="32"/>
          <w:szCs w:val="32"/>
        </w:rPr>
        <w:t>。</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财政拨款年初结转结余</w:t>
      </w:r>
      <w:r>
        <w:rPr>
          <w:rFonts w:ascii="仿宋_GB2312" w:hAnsi="ˎ̥" w:eastAsia="仿宋_GB2312"/>
          <w:sz w:val="32"/>
          <w:szCs w:val="32"/>
        </w:rPr>
        <w:t>0.00</w:t>
      </w:r>
      <w:r>
        <w:rPr>
          <w:rFonts w:hint="eastAsia" w:ascii="仿宋_GB2312" w:hAnsi="ˎ̥" w:eastAsia="仿宋_GB2312"/>
          <w:sz w:val="32"/>
          <w:szCs w:val="32"/>
        </w:rPr>
        <w:t>万元。</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财政拨款年末结转结余</w:t>
      </w:r>
      <w:r>
        <w:rPr>
          <w:rFonts w:ascii="仿宋_GB2312" w:hAnsi="ˎ̥" w:eastAsia="仿宋_GB2312"/>
          <w:sz w:val="32"/>
          <w:szCs w:val="32"/>
        </w:rPr>
        <w:t>0.00</w:t>
      </w:r>
      <w:r>
        <w:rPr>
          <w:rFonts w:hint="eastAsia" w:ascii="仿宋_GB2312" w:hAnsi="ˎ̥" w:eastAsia="仿宋_GB2312"/>
          <w:sz w:val="32"/>
          <w:szCs w:val="32"/>
        </w:rPr>
        <w:t>万元。</w:t>
      </w:r>
    </w:p>
    <w:p>
      <w:pPr>
        <w:spacing w:line="578"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五、一般公共预算财政拨款支出决算情况说明</w:t>
      </w:r>
    </w:p>
    <w:p>
      <w:pPr>
        <w:spacing w:line="578" w:lineRule="exact"/>
        <w:ind w:firstLine="640" w:firstLineChars="200"/>
        <w:rPr>
          <w:rFonts w:hint="eastAsia" w:ascii="楷体" w:hAnsi="楷体" w:eastAsia="楷体" w:cs="楷体"/>
          <w:sz w:val="32"/>
          <w:szCs w:val="32"/>
        </w:rPr>
      </w:pPr>
      <w:bookmarkStart w:id="79" w:name="_Toc13694_WPSOffice_Level2"/>
      <w:bookmarkStart w:id="80" w:name="_Toc17398_WPSOffice_Level2"/>
      <w:bookmarkStart w:id="81" w:name="_Toc19665_WPSOffice_Level2"/>
      <w:bookmarkStart w:id="82" w:name="_Toc21737_WPSOffice_Level2"/>
      <w:bookmarkStart w:id="83" w:name="_Toc23005_WPSOffice_Level2"/>
      <w:bookmarkStart w:id="84" w:name="_Toc9989_WPSOffice_Level2"/>
      <w:r>
        <w:rPr>
          <w:rFonts w:hint="eastAsia" w:ascii="楷体" w:hAnsi="楷体" w:eastAsia="楷体" w:cs="楷体"/>
          <w:sz w:val="32"/>
          <w:szCs w:val="32"/>
        </w:rPr>
        <w:t>（一）一般公共预算财政拨款支出决算总体情况</w:t>
      </w:r>
      <w:bookmarkEnd w:id="79"/>
      <w:bookmarkEnd w:id="80"/>
      <w:r>
        <w:rPr>
          <w:rFonts w:hint="eastAsia" w:ascii="楷体" w:hAnsi="楷体" w:eastAsia="楷体" w:cs="楷体"/>
          <w:sz w:val="32"/>
          <w:szCs w:val="32"/>
        </w:rPr>
        <w:t>。</w:t>
      </w:r>
      <w:bookmarkEnd w:id="81"/>
      <w:bookmarkEnd w:id="82"/>
      <w:bookmarkEnd w:id="83"/>
      <w:bookmarkEnd w:id="84"/>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年度一般公共预算财政拨款支出</w:t>
      </w:r>
      <w:r>
        <w:rPr>
          <w:rFonts w:ascii="仿宋_GB2312" w:hAnsi="ˎ̥" w:eastAsia="仿宋_GB2312"/>
          <w:sz w:val="32"/>
          <w:szCs w:val="32"/>
        </w:rPr>
        <w:t>3,7</w:t>
      </w:r>
      <w:r>
        <w:rPr>
          <w:rFonts w:hint="eastAsia" w:ascii="仿宋_GB2312" w:hAnsi="ˎ̥" w:eastAsia="仿宋_GB2312"/>
          <w:sz w:val="32"/>
          <w:szCs w:val="32"/>
        </w:rPr>
        <w:t>33</w:t>
      </w:r>
      <w:r>
        <w:rPr>
          <w:rFonts w:ascii="仿宋_GB2312" w:hAnsi="ˎ̥" w:eastAsia="仿宋_GB2312"/>
          <w:sz w:val="32"/>
          <w:szCs w:val="32"/>
        </w:rPr>
        <w:t>.10</w:t>
      </w:r>
      <w:r>
        <w:rPr>
          <w:rFonts w:hint="eastAsia" w:ascii="仿宋_GB2312" w:hAnsi="ˎ̥" w:eastAsia="仿宋_GB2312"/>
          <w:sz w:val="32"/>
          <w:szCs w:val="32"/>
        </w:rPr>
        <w:t>万元，占本年支出合计的98.9%，其他收入42万元，占本年支出合计的1.1%，合计</w:t>
      </w:r>
      <w:r>
        <w:rPr>
          <w:rFonts w:ascii="仿宋_GB2312" w:hAnsi="ˎ̥" w:eastAsia="仿宋_GB2312"/>
          <w:sz w:val="32"/>
          <w:szCs w:val="32"/>
        </w:rPr>
        <w:t>3,7</w:t>
      </w:r>
      <w:r>
        <w:rPr>
          <w:rFonts w:hint="eastAsia" w:ascii="仿宋_GB2312" w:hAnsi="ˎ̥" w:eastAsia="仿宋_GB2312"/>
          <w:sz w:val="32"/>
          <w:szCs w:val="32"/>
        </w:rPr>
        <w:t>75</w:t>
      </w:r>
      <w:r>
        <w:rPr>
          <w:rFonts w:ascii="仿宋_GB2312" w:hAnsi="ˎ̥" w:eastAsia="仿宋_GB2312"/>
          <w:sz w:val="32"/>
          <w:szCs w:val="32"/>
        </w:rPr>
        <w:t>.10</w:t>
      </w:r>
      <w:r>
        <w:rPr>
          <w:rFonts w:hint="eastAsia" w:ascii="仿宋_GB2312" w:hAnsi="ˎ̥" w:eastAsia="仿宋_GB2312"/>
          <w:sz w:val="32"/>
          <w:szCs w:val="32"/>
        </w:rPr>
        <w:t>万元。与2022年度相比，一般公共预算财政拨款支出减少1,202.32万元，下降31.85%，主要原因是减少</w:t>
      </w:r>
      <w:r>
        <w:rPr>
          <w:rFonts w:hint="eastAsia" w:ascii="仿宋" w:hAnsi="仿宋" w:eastAsia="仿宋"/>
          <w:sz w:val="32"/>
          <w:szCs w:val="32"/>
        </w:rPr>
        <w:t>疫情防控物资采购经费</w:t>
      </w:r>
      <w:r>
        <w:rPr>
          <w:rFonts w:hint="eastAsia" w:ascii="仿宋_GB2312" w:hAnsi="ˎ̥" w:eastAsia="仿宋_GB2312"/>
          <w:sz w:val="32"/>
          <w:szCs w:val="32"/>
        </w:rPr>
        <w:t>。</w:t>
      </w:r>
    </w:p>
    <w:p>
      <w:pPr>
        <w:spacing w:line="578" w:lineRule="exact"/>
        <w:ind w:firstLine="640" w:firstLineChars="200"/>
        <w:rPr>
          <w:rFonts w:hint="eastAsia" w:ascii="楷体" w:hAnsi="楷体" w:eastAsia="楷体" w:cs="楷体"/>
          <w:sz w:val="32"/>
          <w:szCs w:val="32"/>
        </w:rPr>
      </w:pPr>
      <w:bookmarkStart w:id="85" w:name="_Toc2711_WPSOffice_Level2"/>
      <w:bookmarkStart w:id="86" w:name="_Toc18793_WPSOffice_Level2"/>
      <w:bookmarkStart w:id="87" w:name="_Toc27767_WPSOffice_Level2"/>
      <w:bookmarkStart w:id="88" w:name="_Toc19535_WPSOffice_Level2"/>
      <w:bookmarkStart w:id="89" w:name="_Toc19075_WPSOffice_Level2"/>
      <w:bookmarkStart w:id="90" w:name="_Toc23864_WPSOffice_Level2"/>
      <w:r>
        <w:rPr>
          <w:rFonts w:hint="eastAsia" w:ascii="楷体" w:hAnsi="楷体" w:eastAsia="楷体" w:cs="楷体"/>
          <w:sz w:val="32"/>
          <w:szCs w:val="32"/>
        </w:rPr>
        <w:t>（二）一般公共预算财政拨款支出决算结构情况</w:t>
      </w:r>
      <w:bookmarkEnd w:id="85"/>
      <w:bookmarkEnd w:id="86"/>
      <w:r>
        <w:rPr>
          <w:rFonts w:hint="eastAsia" w:ascii="楷体" w:hAnsi="楷体" w:eastAsia="楷体" w:cs="楷体"/>
          <w:sz w:val="32"/>
          <w:szCs w:val="32"/>
        </w:rPr>
        <w:t>。</w:t>
      </w:r>
      <w:bookmarkEnd w:id="87"/>
      <w:bookmarkEnd w:id="88"/>
      <w:bookmarkEnd w:id="89"/>
      <w:bookmarkEnd w:id="90"/>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年度一般公共预算财政拨款支出</w:t>
      </w:r>
      <w:r>
        <w:rPr>
          <w:rFonts w:ascii="仿宋_GB2312" w:hAnsi="ˎ̥" w:eastAsia="仿宋_GB2312"/>
          <w:sz w:val="32"/>
          <w:szCs w:val="32"/>
        </w:rPr>
        <w:t>3,7</w:t>
      </w:r>
      <w:r>
        <w:rPr>
          <w:rFonts w:hint="eastAsia" w:ascii="仿宋_GB2312" w:hAnsi="ˎ̥" w:eastAsia="仿宋_GB2312"/>
          <w:sz w:val="32"/>
          <w:szCs w:val="32"/>
        </w:rPr>
        <w:t>33</w:t>
      </w:r>
      <w:r>
        <w:rPr>
          <w:rFonts w:ascii="仿宋_GB2312" w:hAnsi="ˎ̥" w:eastAsia="仿宋_GB2312"/>
          <w:sz w:val="32"/>
          <w:szCs w:val="32"/>
        </w:rPr>
        <w:t>.10</w:t>
      </w:r>
      <w:r>
        <w:rPr>
          <w:rFonts w:hint="eastAsia" w:ascii="仿宋_GB2312" w:hAnsi="ˎ̥" w:eastAsia="仿宋_GB2312"/>
          <w:sz w:val="32"/>
          <w:szCs w:val="32"/>
        </w:rPr>
        <w:t>万元，其他收入42万元，合计</w:t>
      </w:r>
      <w:r>
        <w:rPr>
          <w:rFonts w:ascii="仿宋_GB2312" w:hAnsi="ˎ̥" w:eastAsia="仿宋_GB2312"/>
          <w:sz w:val="32"/>
          <w:szCs w:val="32"/>
        </w:rPr>
        <w:t>3,7</w:t>
      </w:r>
      <w:r>
        <w:rPr>
          <w:rFonts w:hint="eastAsia" w:ascii="仿宋_GB2312" w:hAnsi="ˎ̥" w:eastAsia="仿宋_GB2312"/>
          <w:sz w:val="32"/>
          <w:szCs w:val="32"/>
        </w:rPr>
        <w:t>75</w:t>
      </w:r>
      <w:r>
        <w:rPr>
          <w:rFonts w:ascii="仿宋_GB2312" w:hAnsi="ˎ̥" w:eastAsia="仿宋_GB2312"/>
          <w:sz w:val="32"/>
          <w:szCs w:val="32"/>
        </w:rPr>
        <w:t>.10</w:t>
      </w:r>
      <w:r>
        <w:rPr>
          <w:rFonts w:hint="eastAsia" w:ascii="仿宋_GB2312" w:hAnsi="ˎ̥" w:eastAsia="仿宋_GB2312"/>
          <w:sz w:val="32"/>
          <w:szCs w:val="32"/>
        </w:rPr>
        <w:t>万元，主要用于以下方面：</w:t>
      </w:r>
      <w:r>
        <w:rPr>
          <w:rFonts w:hint="eastAsia" w:ascii="仿宋_GB2312" w:hAnsi="ˎ̥" w:eastAsia="仿宋_GB2312"/>
          <w:b/>
          <w:sz w:val="32"/>
          <w:szCs w:val="32"/>
        </w:rPr>
        <w:t>一般公共服务（类）</w:t>
      </w:r>
      <w:r>
        <w:rPr>
          <w:rFonts w:hint="eastAsia" w:ascii="仿宋_GB2312" w:hAnsi="ˎ̥" w:eastAsia="仿宋_GB2312"/>
          <w:sz w:val="32"/>
          <w:szCs w:val="32"/>
        </w:rPr>
        <w:t>支出39.66万元，占1.05%；</w:t>
      </w:r>
      <w:r>
        <w:rPr>
          <w:rFonts w:hint="eastAsia" w:ascii="仿宋_GB2312" w:hAnsi="ˎ̥" w:eastAsia="仿宋_GB2312"/>
          <w:b/>
          <w:sz w:val="32"/>
          <w:szCs w:val="32"/>
        </w:rPr>
        <w:t>社会保障和就业（类）</w:t>
      </w:r>
      <w:r>
        <w:rPr>
          <w:rFonts w:hint="eastAsia" w:ascii="仿宋_GB2312" w:hAnsi="ˎ̥" w:eastAsia="仿宋_GB2312"/>
          <w:sz w:val="32"/>
          <w:szCs w:val="32"/>
        </w:rPr>
        <w:t>支出116.96万元，占3.1%；</w:t>
      </w:r>
      <w:r>
        <w:rPr>
          <w:rFonts w:hint="eastAsia" w:ascii="仿宋_GB2312" w:hAnsi="ˎ̥" w:eastAsia="仿宋_GB2312"/>
          <w:b/>
          <w:bCs/>
          <w:sz w:val="32"/>
          <w:szCs w:val="32"/>
        </w:rPr>
        <w:t>住房保障（类）</w:t>
      </w:r>
      <w:r>
        <w:rPr>
          <w:rFonts w:hint="eastAsia" w:ascii="仿宋_GB2312" w:hAnsi="ˎ̥" w:eastAsia="仿宋_GB2312"/>
          <w:sz w:val="32"/>
          <w:szCs w:val="32"/>
        </w:rPr>
        <w:t>支出89.55万元，占2.37%；</w:t>
      </w:r>
      <w:r>
        <w:rPr>
          <w:rFonts w:hint="eastAsia" w:ascii="仿宋_GB2312" w:hAnsi="ˎ̥" w:eastAsia="仿宋_GB2312"/>
          <w:b/>
          <w:bCs/>
          <w:sz w:val="32"/>
          <w:szCs w:val="32"/>
        </w:rPr>
        <w:t>卫生健康类支出（类）</w:t>
      </w:r>
      <w:r>
        <w:rPr>
          <w:rFonts w:hint="eastAsia" w:ascii="仿宋_GB2312" w:hAnsi="ˎ̥" w:eastAsia="仿宋_GB2312"/>
          <w:sz w:val="32"/>
          <w:szCs w:val="32"/>
        </w:rPr>
        <w:t>74.29万元，占1.97%；</w:t>
      </w:r>
      <w:r>
        <w:rPr>
          <w:rFonts w:hint="eastAsia" w:ascii="仿宋_GB2312" w:hAnsi="ˎ̥" w:eastAsia="仿宋_GB2312"/>
          <w:b/>
          <w:bCs/>
          <w:sz w:val="32"/>
          <w:szCs w:val="32"/>
        </w:rPr>
        <w:t>资源勘探工业信息（类）</w:t>
      </w:r>
      <w:r>
        <w:rPr>
          <w:rFonts w:hint="eastAsia" w:ascii="仿宋_GB2312" w:hAnsi="ˎ̥" w:eastAsia="仿宋_GB2312"/>
          <w:sz w:val="32"/>
          <w:szCs w:val="32"/>
        </w:rPr>
        <w:t>3，454.64万元，占91.51%。</w:t>
      </w:r>
    </w:p>
    <w:p>
      <w:pPr>
        <w:spacing w:line="578" w:lineRule="exact"/>
        <w:ind w:firstLine="640" w:firstLineChars="200"/>
        <w:rPr>
          <w:rFonts w:hint="eastAsia" w:ascii="楷体" w:hAnsi="楷体" w:eastAsia="楷体" w:cs="楷体"/>
          <w:sz w:val="32"/>
          <w:szCs w:val="32"/>
        </w:rPr>
      </w:pPr>
      <w:bookmarkStart w:id="91" w:name="_Toc22318_WPSOffice_Level2"/>
      <w:bookmarkStart w:id="92" w:name="_Toc25136_WPSOffice_Level2"/>
      <w:bookmarkStart w:id="93" w:name="_Toc15415_WPSOffice_Level2"/>
      <w:bookmarkStart w:id="94" w:name="_Toc29364_WPSOffice_Level2"/>
      <w:bookmarkStart w:id="95" w:name="_Toc9502_WPSOffice_Level2"/>
      <w:bookmarkStart w:id="96" w:name="_Toc21701_WPSOffice_Level2"/>
      <w:r>
        <w:rPr>
          <w:rFonts w:hint="eastAsia" w:ascii="楷体" w:hAnsi="楷体" w:eastAsia="楷体" w:cs="楷体"/>
          <w:sz w:val="32"/>
          <w:szCs w:val="32"/>
        </w:rPr>
        <w:t>（三）一般公共预算财政拨款支出决算具体情况。</w:t>
      </w:r>
      <w:bookmarkEnd w:id="91"/>
      <w:bookmarkEnd w:id="92"/>
      <w:bookmarkEnd w:id="93"/>
      <w:bookmarkEnd w:id="94"/>
      <w:bookmarkEnd w:id="95"/>
      <w:bookmarkEnd w:id="96"/>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年度一般公共预算财政拨款支出</w:t>
      </w:r>
      <w:r>
        <w:rPr>
          <w:rFonts w:ascii="仿宋_GB2312" w:hAnsi="ˎ̥" w:eastAsia="仿宋_GB2312"/>
          <w:sz w:val="32"/>
          <w:szCs w:val="32"/>
        </w:rPr>
        <w:t>3,7</w:t>
      </w:r>
      <w:r>
        <w:rPr>
          <w:rFonts w:hint="eastAsia" w:ascii="仿宋_GB2312" w:hAnsi="ˎ̥" w:eastAsia="仿宋_GB2312"/>
          <w:sz w:val="32"/>
          <w:szCs w:val="32"/>
        </w:rPr>
        <w:t>33</w:t>
      </w:r>
      <w:r>
        <w:rPr>
          <w:rFonts w:ascii="仿宋_GB2312" w:hAnsi="ˎ̥" w:eastAsia="仿宋_GB2312"/>
          <w:sz w:val="32"/>
          <w:szCs w:val="32"/>
        </w:rPr>
        <w:t>.10</w:t>
      </w:r>
      <w:r>
        <w:rPr>
          <w:rFonts w:hint="eastAsia" w:ascii="仿宋_GB2312" w:hAnsi="ˎ̥" w:eastAsia="仿宋_GB2312"/>
          <w:sz w:val="32"/>
          <w:szCs w:val="32"/>
        </w:rPr>
        <w:t>万元，其他收入42万元，合计</w:t>
      </w:r>
      <w:r>
        <w:rPr>
          <w:rFonts w:ascii="仿宋_GB2312" w:hAnsi="ˎ̥" w:eastAsia="仿宋_GB2312"/>
          <w:sz w:val="32"/>
          <w:szCs w:val="32"/>
        </w:rPr>
        <w:t>3,7</w:t>
      </w:r>
      <w:r>
        <w:rPr>
          <w:rFonts w:hint="eastAsia" w:ascii="仿宋_GB2312" w:hAnsi="ˎ̥" w:eastAsia="仿宋_GB2312"/>
          <w:sz w:val="32"/>
          <w:szCs w:val="32"/>
        </w:rPr>
        <w:t>75</w:t>
      </w:r>
      <w:r>
        <w:rPr>
          <w:rFonts w:ascii="仿宋_GB2312" w:hAnsi="ˎ̥" w:eastAsia="仿宋_GB2312"/>
          <w:sz w:val="32"/>
          <w:szCs w:val="32"/>
        </w:rPr>
        <w:t>.10</w:t>
      </w:r>
      <w:r>
        <w:rPr>
          <w:rFonts w:hint="eastAsia" w:ascii="仿宋_GB2312" w:hAnsi="ˎ̥" w:eastAsia="仿宋_GB2312"/>
          <w:sz w:val="32"/>
          <w:szCs w:val="32"/>
        </w:rPr>
        <w:t>万元，支出决算为</w:t>
      </w:r>
      <w:r>
        <w:rPr>
          <w:rFonts w:ascii="仿宋_GB2312" w:hAnsi="ˎ̥" w:eastAsia="仿宋_GB2312"/>
          <w:sz w:val="32"/>
          <w:szCs w:val="32"/>
        </w:rPr>
        <w:t>3,7</w:t>
      </w:r>
      <w:r>
        <w:rPr>
          <w:rFonts w:hint="eastAsia" w:ascii="仿宋_GB2312" w:hAnsi="ˎ̥" w:eastAsia="仿宋_GB2312"/>
          <w:sz w:val="32"/>
          <w:szCs w:val="32"/>
        </w:rPr>
        <w:t>75</w:t>
      </w:r>
      <w:r>
        <w:rPr>
          <w:rFonts w:ascii="仿宋_GB2312" w:hAnsi="ˎ̥" w:eastAsia="仿宋_GB2312"/>
          <w:sz w:val="32"/>
          <w:szCs w:val="32"/>
        </w:rPr>
        <w:t>.10</w:t>
      </w:r>
      <w:r>
        <w:rPr>
          <w:rFonts w:hint="eastAsia" w:ascii="仿宋_GB2312" w:hAnsi="ˎ̥" w:eastAsia="仿宋_GB2312"/>
          <w:sz w:val="32"/>
          <w:szCs w:val="32"/>
        </w:rPr>
        <w:t>万元，完成年初预算的100%。其中：</w:t>
      </w:r>
    </w:p>
    <w:p>
      <w:pPr>
        <w:spacing w:line="578" w:lineRule="exact"/>
        <w:ind w:firstLine="640" w:firstLineChars="200"/>
        <w:rPr>
          <w:rFonts w:hint="eastAsia" w:ascii="仿宋_GB2312" w:hAnsi="ˎ̥" w:eastAsia="仿宋_GB2312"/>
          <w:b/>
          <w:sz w:val="32"/>
          <w:szCs w:val="32"/>
        </w:rPr>
      </w:pPr>
      <w:r>
        <w:rPr>
          <w:rFonts w:hint="eastAsia" w:ascii="仿宋_GB2312" w:hAnsi="ˎ̥" w:eastAsia="仿宋_GB2312"/>
          <w:sz w:val="32"/>
          <w:szCs w:val="32"/>
        </w:rPr>
        <w:t>1.</w:t>
      </w:r>
      <w:r>
        <w:rPr>
          <w:rFonts w:hint="eastAsia" w:ascii="仿宋_GB2312" w:hAnsi="ˎ̥" w:eastAsia="仿宋_GB2312"/>
          <w:b/>
          <w:sz w:val="32"/>
          <w:szCs w:val="32"/>
        </w:rPr>
        <w:t>一般公共服务（类）人大事务（款）行政运行（项）。</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年初预算为39.66万元，支出决算为39.66万元，完成年初预算的100%。</w:t>
      </w:r>
    </w:p>
    <w:p>
      <w:pPr>
        <w:spacing w:line="578" w:lineRule="exact"/>
        <w:ind w:firstLine="643" w:firstLineChars="200"/>
        <w:rPr>
          <w:rFonts w:hint="eastAsia" w:ascii="仿宋_GB2312" w:hAnsi="ˎ̥" w:eastAsia="仿宋_GB2312"/>
          <w:b/>
          <w:sz w:val="32"/>
          <w:szCs w:val="32"/>
        </w:rPr>
      </w:pPr>
      <w:r>
        <w:rPr>
          <w:rFonts w:hint="eastAsia" w:ascii="仿宋_GB2312" w:hAnsi="ˎ̥" w:eastAsia="仿宋_GB2312"/>
          <w:b/>
          <w:sz w:val="32"/>
          <w:szCs w:val="32"/>
        </w:rPr>
        <w:t>2.社会保障和就业（类）。</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年初预算为116.96万元，支出决算为116.96万元，完成年初预算的100%。</w:t>
      </w:r>
    </w:p>
    <w:p>
      <w:pPr>
        <w:spacing w:line="578" w:lineRule="exact"/>
        <w:ind w:firstLine="643" w:firstLineChars="200"/>
        <w:rPr>
          <w:rFonts w:hint="eastAsia" w:ascii="仿宋_GB2312" w:hAnsi="ˎ̥" w:eastAsia="仿宋_GB2312"/>
          <w:b/>
          <w:sz w:val="32"/>
          <w:szCs w:val="32"/>
        </w:rPr>
      </w:pPr>
      <w:r>
        <w:rPr>
          <w:rFonts w:hint="eastAsia" w:ascii="仿宋_GB2312" w:hAnsi="ˎ̥" w:eastAsia="仿宋_GB2312"/>
          <w:b/>
          <w:sz w:val="32"/>
          <w:szCs w:val="32"/>
        </w:rPr>
        <w:t>3.</w:t>
      </w:r>
      <w:r>
        <w:rPr>
          <w:rFonts w:hint="eastAsia" w:ascii="仿宋_GB2312" w:hAnsi="ˎ̥" w:eastAsia="仿宋_GB2312"/>
          <w:b/>
          <w:bCs/>
          <w:sz w:val="32"/>
          <w:szCs w:val="32"/>
        </w:rPr>
        <w:t>住房保障（类）</w:t>
      </w:r>
      <w:r>
        <w:rPr>
          <w:rFonts w:hint="eastAsia" w:ascii="仿宋_GB2312" w:hAnsi="ˎ̥" w:eastAsia="仿宋_GB2312"/>
          <w:b/>
          <w:sz w:val="32"/>
          <w:szCs w:val="32"/>
        </w:rPr>
        <w:t>。</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年初预算为89.55万元，支出决算为89.55万元，完成年初预算的100%。</w:t>
      </w:r>
    </w:p>
    <w:p>
      <w:pPr>
        <w:spacing w:line="578" w:lineRule="exact"/>
        <w:ind w:firstLine="643" w:firstLineChars="200"/>
        <w:rPr>
          <w:rFonts w:hint="eastAsia" w:ascii="仿宋_GB2312" w:hAnsi="ˎ̥" w:eastAsia="仿宋_GB2312"/>
          <w:b/>
          <w:sz w:val="32"/>
          <w:szCs w:val="32"/>
        </w:rPr>
      </w:pPr>
      <w:r>
        <w:rPr>
          <w:rFonts w:hint="eastAsia" w:ascii="仿宋_GB2312" w:hAnsi="ˎ̥" w:eastAsia="仿宋_GB2312"/>
          <w:b/>
          <w:sz w:val="32"/>
          <w:szCs w:val="32"/>
        </w:rPr>
        <w:t>4.卫生健康类支出（类）。</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年初预算为74.29万元，支出决算为74.29万元，完成年初预算的100%。</w:t>
      </w:r>
    </w:p>
    <w:p>
      <w:pPr>
        <w:spacing w:line="578" w:lineRule="exact"/>
        <w:ind w:firstLine="643" w:firstLineChars="200"/>
        <w:rPr>
          <w:rFonts w:hint="eastAsia" w:ascii="仿宋_GB2312" w:hAnsi="ˎ̥" w:eastAsia="仿宋_GB2312"/>
          <w:b/>
          <w:sz w:val="32"/>
          <w:szCs w:val="32"/>
        </w:rPr>
      </w:pPr>
      <w:r>
        <w:rPr>
          <w:rFonts w:hint="eastAsia" w:ascii="仿宋_GB2312" w:hAnsi="ˎ̥" w:eastAsia="仿宋_GB2312"/>
          <w:b/>
          <w:sz w:val="32"/>
          <w:szCs w:val="32"/>
        </w:rPr>
        <w:t>5.资源勘探工业信息（类）。</w:t>
      </w:r>
    </w:p>
    <w:p>
      <w:pPr>
        <w:spacing w:line="578" w:lineRule="exact"/>
        <w:ind w:firstLine="640" w:firstLineChars="200"/>
        <w:rPr>
          <w:rFonts w:ascii="仿宋_GB2312" w:hAnsi="ˎ̥" w:eastAsia="仿宋_GB2312"/>
          <w:sz w:val="32"/>
          <w:szCs w:val="32"/>
        </w:rPr>
      </w:pPr>
      <w:r>
        <w:rPr>
          <w:rFonts w:hint="eastAsia" w:ascii="仿宋_GB2312" w:hAnsi="ˎ̥" w:eastAsia="仿宋_GB2312"/>
          <w:sz w:val="32"/>
          <w:szCs w:val="32"/>
        </w:rPr>
        <w:t>年初预算为3,454.64万元，支出决算为3,454.64万元，完成年初预算的100%。</w:t>
      </w:r>
    </w:p>
    <w:p>
      <w:pPr>
        <w:spacing w:line="578" w:lineRule="exact"/>
        <w:ind w:firstLine="627" w:firstLineChars="196"/>
        <w:rPr>
          <w:rFonts w:hint="eastAsia" w:ascii="黑体" w:hAnsi="黑体" w:eastAsia="黑体" w:cs="黑体"/>
          <w:sz w:val="32"/>
          <w:szCs w:val="32"/>
        </w:rPr>
      </w:pPr>
      <w:r>
        <w:rPr>
          <w:rFonts w:hint="eastAsia" w:ascii="黑体" w:hAnsi="黑体" w:eastAsia="黑体" w:cs="黑体"/>
          <w:bCs/>
          <w:sz w:val="32"/>
          <w:szCs w:val="32"/>
        </w:rPr>
        <w:t>六、一般公共预算财政拨款基本支出决算情况说明</w:t>
      </w:r>
    </w:p>
    <w:p>
      <w:pPr>
        <w:tabs>
          <w:tab w:val="center" w:pos="4473"/>
        </w:tabs>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年度财政拨款基本支出1,171.79万元，其中：人员经费</w:t>
      </w:r>
      <w:r>
        <w:rPr>
          <w:rFonts w:ascii="仿宋_GB2312" w:hAnsi="ˎ̥" w:eastAsia="仿宋_GB2312"/>
          <w:sz w:val="32"/>
          <w:szCs w:val="32"/>
        </w:rPr>
        <w:t>1,096.82</w:t>
      </w:r>
      <w:r>
        <w:rPr>
          <w:rFonts w:hint="eastAsia" w:ascii="仿宋_GB2312" w:hAnsi="ˎ̥" w:eastAsia="仿宋_GB2312"/>
          <w:sz w:val="32"/>
          <w:szCs w:val="32"/>
        </w:rPr>
        <w:t>万元，主要包括：工资福利支出中的基本工资、津贴补贴、奖金、伙食补助费、机关事业单位基本养老保险缴费、职业年金缴费、职工基本医疗保险缴费、公务员医疗补助缴费、其他社会保障缴费、住房公积金、医疗费、其他工资福利支出；对个人和家庭的补助中的离休费、退休费、奖励金、其他对个人和家庭的补助。公用经费</w:t>
      </w:r>
      <w:r>
        <w:rPr>
          <w:rFonts w:ascii="仿宋_GB2312" w:hAnsi="ˎ̥" w:eastAsia="仿宋_GB2312"/>
          <w:sz w:val="32"/>
          <w:szCs w:val="32"/>
        </w:rPr>
        <w:t>74.97</w:t>
      </w:r>
      <w:r>
        <w:rPr>
          <w:rFonts w:hint="eastAsia" w:ascii="仿宋_GB2312" w:hAnsi="ˎ̥" w:eastAsia="仿宋_GB2312"/>
          <w:sz w:val="32"/>
          <w:szCs w:val="32"/>
        </w:rPr>
        <w:t>万元，主要包括：商品和服务支出中的办公费、印刷费、咨询费、手续费、水费、电费、邮电费、取暖费、差旅费、维修（护）费、会议费、培训费、公务接待费、劳务费、委托业务费、工会经费、福利费、公务用车运行维护费、其他商品和服务支出。</w:t>
      </w:r>
    </w:p>
    <w:p>
      <w:pPr>
        <w:tabs>
          <w:tab w:val="center" w:pos="4473"/>
        </w:tabs>
        <w:spacing w:line="578"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七、政府性基金预算财政拨款支出决算情况说明</w:t>
      </w:r>
    </w:p>
    <w:p>
      <w:pPr>
        <w:spacing w:line="578"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（一）政府性基金预算财政拨款支出决算总体情况。</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年度政府性基金预算财政拨款支出</w:t>
      </w:r>
      <w:r>
        <w:rPr>
          <w:rFonts w:ascii="仿宋_GB2312" w:hAnsi="ˎ̥" w:eastAsia="仿宋_GB2312"/>
          <w:sz w:val="32"/>
          <w:szCs w:val="32"/>
        </w:rPr>
        <w:t>0.00</w:t>
      </w:r>
      <w:r>
        <w:rPr>
          <w:rFonts w:hint="eastAsia" w:ascii="仿宋_GB2312" w:hAnsi="ˎ̥" w:eastAsia="仿宋_GB2312"/>
          <w:sz w:val="32"/>
          <w:szCs w:val="32"/>
        </w:rPr>
        <w:t>万元，占本年支出合计的0%。与202</w:t>
      </w:r>
      <w:r>
        <w:rPr>
          <w:rFonts w:ascii="仿宋_GB2312" w:hAnsi="ˎ̥" w:eastAsia="仿宋_GB2312"/>
          <w:sz w:val="32"/>
          <w:szCs w:val="32"/>
        </w:rPr>
        <w:t>2</w:t>
      </w:r>
      <w:r>
        <w:rPr>
          <w:rFonts w:hint="eastAsia" w:ascii="仿宋_GB2312" w:hAnsi="ˎ̥" w:eastAsia="仿宋_GB2312"/>
          <w:sz w:val="32"/>
          <w:szCs w:val="32"/>
        </w:rPr>
        <w:t>年度相比，政府性基金预算财政拨款支出增加（减少）0万元，增长（下降）0%。</w:t>
      </w:r>
    </w:p>
    <w:p>
      <w:pPr>
        <w:spacing w:line="578"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（二）政府性基金预算财政拨款支出决算结构情况。</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年度政府性基金预算财政拨款支出</w:t>
      </w:r>
      <w:r>
        <w:rPr>
          <w:rFonts w:ascii="仿宋_GB2312" w:hAnsi="ˎ̥" w:eastAsia="仿宋_GB2312"/>
          <w:sz w:val="32"/>
          <w:szCs w:val="32"/>
        </w:rPr>
        <w:t>0.00</w:t>
      </w:r>
      <w:r>
        <w:rPr>
          <w:rFonts w:hint="eastAsia" w:ascii="仿宋_GB2312" w:hAnsi="ˎ̥" w:eastAsia="仿宋_GB2312"/>
          <w:sz w:val="32"/>
          <w:szCs w:val="32"/>
        </w:rPr>
        <w:t>万元。</w:t>
      </w:r>
    </w:p>
    <w:p>
      <w:pPr>
        <w:spacing w:line="578"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（三）政府性基金预算财政拨款支出决算具体情况。</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年度政府性基金预算财政拨款支出年初预算为0万元，支出决算为</w:t>
      </w:r>
      <w:r>
        <w:rPr>
          <w:rFonts w:ascii="仿宋_GB2312" w:hAnsi="ˎ̥" w:eastAsia="仿宋_GB2312"/>
          <w:sz w:val="32"/>
          <w:szCs w:val="32"/>
        </w:rPr>
        <w:t>0.00</w:t>
      </w:r>
      <w:r>
        <w:rPr>
          <w:rFonts w:hint="eastAsia" w:ascii="仿宋_GB2312" w:hAnsi="ˎ̥" w:eastAsia="仿宋_GB2312"/>
          <w:sz w:val="32"/>
          <w:szCs w:val="32"/>
        </w:rPr>
        <w:t>万元，完成年初预算的0%。</w:t>
      </w:r>
    </w:p>
    <w:p>
      <w:pPr>
        <w:tabs>
          <w:tab w:val="center" w:pos="4473"/>
        </w:tabs>
        <w:spacing w:line="578"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八、国有资本经营预算财政拨款支出决算情况说明</w:t>
      </w:r>
    </w:p>
    <w:p>
      <w:pPr>
        <w:spacing w:line="578"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（一）国有资本经营预算财政拨款支出决算总体情况。</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年度国有资本经营预算财政拨款支出</w:t>
      </w:r>
      <w:r>
        <w:rPr>
          <w:rFonts w:ascii="仿宋_GB2312" w:hAnsi="ˎ̥" w:eastAsia="仿宋_GB2312"/>
          <w:sz w:val="32"/>
          <w:szCs w:val="32"/>
        </w:rPr>
        <w:t>0.00</w:t>
      </w:r>
      <w:r>
        <w:rPr>
          <w:rFonts w:hint="eastAsia" w:ascii="仿宋_GB2312" w:hAnsi="ˎ̥" w:eastAsia="仿宋_GB2312"/>
          <w:sz w:val="32"/>
          <w:szCs w:val="32"/>
        </w:rPr>
        <w:t>万元，占本年支出合计的0%。与202</w:t>
      </w:r>
      <w:r>
        <w:rPr>
          <w:rFonts w:ascii="仿宋_GB2312" w:hAnsi="ˎ̥" w:eastAsia="仿宋_GB2312"/>
          <w:sz w:val="32"/>
          <w:szCs w:val="32"/>
        </w:rPr>
        <w:t>2</w:t>
      </w:r>
      <w:r>
        <w:rPr>
          <w:rFonts w:hint="eastAsia" w:ascii="仿宋_GB2312" w:hAnsi="ˎ̥" w:eastAsia="仿宋_GB2312"/>
          <w:sz w:val="32"/>
          <w:szCs w:val="32"/>
        </w:rPr>
        <w:t>年度相比，国有资本经营预算财政拨款支出增加（减少）0万元，增长（下降）0%。</w:t>
      </w:r>
    </w:p>
    <w:p>
      <w:pPr>
        <w:spacing w:line="578"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（二）国有资本经营预算财政拨款支出决算结构情况。</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年度国有资本经营预算财政拨款支出</w:t>
      </w:r>
      <w:r>
        <w:rPr>
          <w:rFonts w:ascii="仿宋_GB2312" w:hAnsi="ˎ̥" w:eastAsia="仿宋_GB2312"/>
          <w:sz w:val="32"/>
          <w:szCs w:val="32"/>
        </w:rPr>
        <w:t>0.00</w:t>
      </w:r>
      <w:r>
        <w:rPr>
          <w:rFonts w:hint="eastAsia" w:ascii="仿宋_GB2312" w:hAnsi="ˎ̥" w:eastAsia="仿宋_GB2312"/>
          <w:sz w:val="32"/>
          <w:szCs w:val="32"/>
        </w:rPr>
        <w:t>万元。</w:t>
      </w:r>
    </w:p>
    <w:p>
      <w:pPr>
        <w:spacing w:line="578"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（三）国有资本经营预算财政拨款支出决算具体情况。</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年度国有资本经营预算财政拨款支出年初预算为0万元，支出决算为</w:t>
      </w:r>
      <w:r>
        <w:rPr>
          <w:rFonts w:ascii="仿宋_GB2312" w:hAnsi="ˎ̥" w:eastAsia="仿宋_GB2312"/>
          <w:sz w:val="32"/>
          <w:szCs w:val="32"/>
        </w:rPr>
        <w:t>0.00</w:t>
      </w:r>
      <w:r>
        <w:rPr>
          <w:rFonts w:hint="eastAsia" w:ascii="仿宋_GB2312" w:hAnsi="ˎ̥" w:eastAsia="仿宋_GB2312"/>
          <w:sz w:val="32"/>
          <w:szCs w:val="32"/>
        </w:rPr>
        <w:t>万元，完成年初预算的0%。</w:t>
      </w:r>
    </w:p>
    <w:p>
      <w:pPr>
        <w:spacing w:line="578" w:lineRule="exact"/>
        <w:ind w:firstLine="627" w:firstLineChars="196"/>
        <w:rPr>
          <w:rFonts w:hint="eastAsia" w:ascii="仿宋_GB2312" w:hAnsi="ˎ̥" w:eastAsia="楷体_GB2312"/>
          <w:sz w:val="32"/>
          <w:szCs w:val="32"/>
        </w:rPr>
      </w:pPr>
      <w:r>
        <w:rPr>
          <w:rFonts w:hint="eastAsia" w:ascii="黑体" w:hAnsi="黑体" w:eastAsia="黑体" w:cs="黑体"/>
          <w:bCs/>
          <w:sz w:val="32"/>
          <w:szCs w:val="32"/>
        </w:rPr>
        <w:t>九、财政拨款“三公”经费支出决算情况说明</w:t>
      </w:r>
    </w:p>
    <w:p>
      <w:pPr>
        <w:spacing w:line="578"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（一）财政拨款“三公”经费支出决算总体情况说明。</w:t>
      </w:r>
    </w:p>
    <w:p>
      <w:pPr>
        <w:spacing w:line="578" w:lineRule="exact"/>
        <w:rPr>
          <w:rFonts w:hint="eastAsia" w:ascii="仿宋_GB2312" w:hAnsi="ˎ̥" w:eastAsia="仿宋_GB2312"/>
          <w:sz w:val="32"/>
          <w:szCs w:val="32"/>
        </w:rPr>
      </w:pPr>
      <w:r>
        <w:rPr>
          <w:rFonts w:hint="eastAsia" w:ascii="仿宋_GB2312" w:hAnsi="ˎ̥" w:eastAsia="仿宋_GB2312"/>
          <w:sz w:val="32"/>
          <w:szCs w:val="32"/>
        </w:rPr>
        <w:t xml:space="preserve">    202</w:t>
      </w:r>
      <w:r>
        <w:rPr>
          <w:rFonts w:ascii="仿宋_GB2312" w:hAnsi="ˎ̥" w:eastAsia="仿宋_GB2312"/>
          <w:sz w:val="32"/>
          <w:szCs w:val="32"/>
        </w:rPr>
        <w:t>3</w:t>
      </w:r>
      <w:r>
        <w:rPr>
          <w:rFonts w:hint="eastAsia" w:ascii="仿宋_GB2312" w:hAnsi="ˎ̥" w:eastAsia="仿宋_GB2312"/>
          <w:sz w:val="32"/>
          <w:szCs w:val="32"/>
        </w:rPr>
        <w:t>年度财政拨款“三公”经费支出预算为</w:t>
      </w:r>
      <w:r>
        <w:rPr>
          <w:rFonts w:ascii="仿宋_GB2312" w:hAnsi="ˎ̥" w:eastAsia="仿宋_GB2312"/>
          <w:sz w:val="32"/>
          <w:szCs w:val="32"/>
        </w:rPr>
        <w:t>23.54</w:t>
      </w:r>
      <w:r>
        <w:rPr>
          <w:rFonts w:hint="eastAsia" w:ascii="仿宋_GB2312" w:hAnsi="ˎ̥" w:eastAsia="仿宋_GB2312"/>
          <w:sz w:val="32"/>
          <w:szCs w:val="32"/>
        </w:rPr>
        <w:t>万元，支出决算为</w:t>
      </w:r>
      <w:r>
        <w:rPr>
          <w:rFonts w:ascii="仿宋_GB2312" w:hAnsi="ˎ̥" w:eastAsia="仿宋_GB2312"/>
          <w:sz w:val="32"/>
          <w:szCs w:val="32"/>
        </w:rPr>
        <w:t>23.54</w:t>
      </w:r>
      <w:r>
        <w:rPr>
          <w:rFonts w:hint="eastAsia" w:ascii="仿宋_GB2312" w:hAnsi="ˎ̥" w:eastAsia="仿宋_GB2312"/>
          <w:sz w:val="32"/>
          <w:szCs w:val="32"/>
        </w:rPr>
        <w:t>万元，完成预算的100%，</w:t>
      </w:r>
      <w:r>
        <w:rPr>
          <w:rFonts w:ascii="仿宋_GB2312" w:hAnsi="ˎ̥" w:eastAsia="仿宋_GB2312"/>
          <w:sz w:val="32"/>
          <w:szCs w:val="32"/>
        </w:rPr>
        <w:t>与</w:t>
      </w:r>
      <w:r>
        <w:rPr>
          <w:rFonts w:hint="eastAsia" w:ascii="仿宋_GB2312" w:hAnsi="ˎ̥" w:eastAsia="仿宋_GB2312"/>
          <w:sz w:val="32"/>
          <w:szCs w:val="32"/>
        </w:rPr>
        <w:t>2022年度</w:t>
      </w:r>
      <w:r>
        <w:rPr>
          <w:rFonts w:ascii="仿宋_GB2312" w:hAnsi="ˎ̥" w:eastAsia="仿宋_GB2312"/>
          <w:sz w:val="32"/>
          <w:szCs w:val="32"/>
        </w:rPr>
        <w:t>相比，</w:t>
      </w:r>
      <w:r>
        <w:rPr>
          <w:rFonts w:hint="eastAsia" w:ascii="仿宋_GB2312" w:hAnsi="ˎ̥" w:eastAsia="仿宋_GB2312"/>
          <w:sz w:val="32"/>
          <w:szCs w:val="32"/>
        </w:rPr>
        <w:t>“三公”经费支出增加2.87万元</w:t>
      </w:r>
      <w:r>
        <w:rPr>
          <w:rFonts w:ascii="仿宋_GB2312" w:hAnsi="ˎ̥" w:eastAsia="仿宋_GB2312"/>
          <w:sz w:val="32"/>
          <w:szCs w:val="32"/>
        </w:rPr>
        <w:t>，增长</w:t>
      </w:r>
      <w:r>
        <w:rPr>
          <w:rFonts w:hint="eastAsia" w:ascii="仿宋_GB2312" w:hAnsi="ˎ̥" w:eastAsia="仿宋_GB2312"/>
          <w:sz w:val="32"/>
          <w:szCs w:val="32"/>
        </w:rPr>
        <w:t>12.19%，</w:t>
      </w:r>
      <w:r>
        <w:rPr>
          <w:rFonts w:ascii="仿宋_GB2312" w:hAnsi="ˎ̥" w:eastAsia="仿宋_GB2312"/>
          <w:sz w:val="32"/>
          <w:szCs w:val="32"/>
        </w:rPr>
        <w:t>主要原因是</w:t>
      </w:r>
      <w:r>
        <w:rPr>
          <w:rFonts w:hint="eastAsia" w:ascii="仿宋" w:hAnsi="仿宋" w:eastAsia="仿宋"/>
          <w:sz w:val="32"/>
          <w:szCs w:val="32"/>
        </w:rPr>
        <w:t>下乡出差调研等工作量增加，车辆维修</w:t>
      </w:r>
      <w:r>
        <w:rPr>
          <w:rFonts w:hint="eastAsia" w:ascii="仿宋_GB2312" w:hAnsi="ˎ̥" w:eastAsia="仿宋_GB2312"/>
          <w:sz w:val="32"/>
          <w:szCs w:val="32"/>
        </w:rPr>
        <w:t>。</w:t>
      </w:r>
    </w:p>
    <w:p>
      <w:pPr>
        <w:spacing w:line="578" w:lineRule="exact"/>
        <w:rPr>
          <w:rFonts w:hint="eastAsia" w:ascii="楷体" w:hAnsi="楷体" w:eastAsia="楷体" w:cs="楷体"/>
          <w:sz w:val="32"/>
          <w:szCs w:val="32"/>
        </w:rPr>
      </w:pPr>
      <w:r>
        <w:rPr>
          <w:rFonts w:hint="eastAsia" w:ascii="楷体" w:hAnsi="楷体" w:eastAsia="楷体" w:cs="楷体"/>
          <w:b/>
          <w:bCs/>
          <w:sz w:val="32"/>
          <w:szCs w:val="32"/>
        </w:rPr>
        <w:t xml:space="preserve">   </w:t>
      </w:r>
      <w:r>
        <w:rPr>
          <w:rFonts w:hint="eastAsia" w:ascii="楷体" w:hAnsi="楷体" w:eastAsia="楷体" w:cs="楷体"/>
          <w:sz w:val="32"/>
          <w:szCs w:val="32"/>
        </w:rPr>
        <w:t xml:space="preserve"> （二）财政拨款“三公”经费支出决算具体情况说明。</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2023年度财政拨款“三公”经费支出决算中，因公出国（境）费支出决算</w:t>
      </w:r>
      <w:r>
        <w:rPr>
          <w:rFonts w:ascii="仿宋_GB2312" w:hAnsi="ˎ̥" w:eastAsia="仿宋_GB2312"/>
          <w:sz w:val="32"/>
          <w:szCs w:val="32"/>
        </w:rPr>
        <w:t>0.00</w:t>
      </w:r>
      <w:r>
        <w:rPr>
          <w:rFonts w:hint="eastAsia" w:ascii="仿宋_GB2312" w:hAnsi="ˎ̥" w:eastAsia="仿宋_GB2312"/>
          <w:sz w:val="32"/>
          <w:szCs w:val="32"/>
        </w:rPr>
        <w:t>万元，占0%；公务用车购置及运行维护费支出决算</w:t>
      </w:r>
      <w:r>
        <w:rPr>
          <w:rFonts w:ascii="仿宋_GB2312" w:hAnsi="ˎ̥" w:eastAsia="仿宋_GB2312"/>
          <w:sz w:val="32"/>
          <w:szCs w:val="32"/>
        </w:rPr>
        <w:t>23.35</w:t>
      </w:r>
      <w:r>
        <w:rPr>
          <w:rFonts w:hint="eastAsia" w:ascii="仿宋_GB2312" w:hAnsi="ˎ̥" w:eastAsia="仿宋_GB2312"/>
          <w:sz w:val="32"/>
          <w:szCs w:val="32"/>
        </w:rPr>
        <w:t>万元，占99.19%；公务接待费支出决算</w:t>
      </w:r>
      <w:r>
        <w:rPr>
          <w:rFonts w:ascii="仿宋_GB2312" w:hAnsi="ˎ̥" w:eastAsia="仿宋_GB2312"/>
          <w:sz w:val="32"/>
          <w:szCs w:val="32"/>
        </w:rPr>
        <w:t>0.19</w:t>
      </w:r>
      <w:r>
        <w:rPr>
          <w:rFonts w:hint="eastAsia" w:ascii="仿宋_GB2312" w:hAnsi="ˎ̥" w:eastAsia="仿宋_GB2312"/>
          <w:sz w:val="32"/>
          <w:szCs w:val="32"/>
        </w:rPr>
        <w:t>万元，占0.81%。具体情况如下：</w:t>
      </w:r>
    </w:p>
    <w:p>
      <w:pPr>
        <w:spacing w:line="578" w:lineRule="exact"/>
        <w:ind w:firstLine="643" w:firstLineChars="200"/>
        <w:rPr>
          <w:rFonts w:hint="eastAsia" w:ascii="仿宋_GB2312" w:hAnsi="ˎ̥" w:eastAsia="仿宋_GB2312"/>
          <w:sz w:val="32"/>
          <w:szCs w:val="32"/>
        </w:rPr>
      </w:pPr>
      <w:r>
        <w:rPr>
          <w:rFonts w:hint="eastAsia" w:ascii="仿宋_GB2312" w:hAnsi="ˎ̥" w:eastAsia="仿宋_GB2312"/>
          <w:b/>
          <w:sz w:val="32"/>
          <w:szCs w:val="32"/>
        </w:rPr>
        <w:t>1.因公出国（境）费</w:t>
      </w:r>
      <w:r>
        <w:rPr>
          <w:rFonts w:hint="eastAsia" w:ascii="仿宋_GB2312" w:hAnsi="ˎ̥" w:eastAsia="仿宋_GB2312"/>
          <w:sz w:val="32"/>
          <w:szCs w:val="32"/>
        </w:rPr>
        <w:t>支出</w:t>
      </w:r>
      <w:r>
        <w:rPr>
          <w:rFonts w:ascii="仿宋_GB2312" w:hAnsi="ˎ̥" w:eastAsia="仿宋_GB2312"/>
          <w:sz w:val="32"/>
          <w:szCs w:val="32"/>
        </w:rPr>
        <w:t>0.00</w:t>
      </w:r>
      <w:r>
        <w:rPr>
          <w:rFonts w:hint="eastAsia" w:ascii="仿宋_GB2312" w:hAnsi="ˎ̥" w:eastAsia="仿宋_GB2312"/>
          <w:sz w:val="32"/>
          <w:szCs w:val="32"/>
        </w:rPr>
        <w:t>万元。全年安排因公出国（境）团组0个，因公出国（境）0人次。</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因公出国（境）费支出决算比预算数增加（减少）0万元，增长（下降）0%。与2022年度</w:t>
      </w:r>
      <w:r>
        <w:rPr>
          <w:rFonts w:ascii="仿宋_GB2312" w:hAnsi="ˎ̥" w:eastAsia="仿宋_GB2312"/>
          <w:sz w:val="32"/>
          <w:szCs w:val="32"/>
        </w:rPr>
        <w:t>相比，</w:t>
      </w:r>
      <w:r>
        <w:rPr>
          <w:rFonts w:hint="eastAsia" w:ascii="仿宋_GB2312" w:hAnsi="ˎ̥" w:eastAsia="仿宋_GB2312"/>
          <w:sz w:val="32"/>
          <w:szCs w:val="32"/>
        </w:rPr>
        <w:t>因公出国（境）费支出增加</w:t>
      </w:r>
      <w:r>
        <w:rPr>
          <w:rFonts w:ascii="仿宋_GB2312" w:hAnsi="ˎ̥" w:eastAsia="仿宋_GB2312"/>
          <w:sz w:val="32"/>
          <w:szCs w:val="32"/>
        </w:rPr>
        <w:t>（</w:t>
      </w:r>
      <w:r>
        <w:rPr>
          <w:rFonts w:hint="eastAsia" w:ascii="仿宋_GB2312" w:hAnsi="ˎ̥" w:eastAsia="仿宋_GB2312"/>
          <w:sz w:val="32"/>
          <w:szCs w:val="32"/>
        </w:rPr>
        <w:t>减少</w:t>
      </w:r>
      <w:r>
        <w:rPr>
          <w:rFonts w:ascii="仿宋_GB2312" w:hAnsi="ˎ̥" w:eastAsia="仿宋_GB2312"/>
          <w:sz w:val="32"/>
          <w:szCs w:val="32"/>
        </w:rPr>
        <w:t>）</w:t>
      </w:r>
      <w:r>
        <w:rPr>
          <w:rFonts w:hint="eastAsia" w:ascii="仿宋_GB2312" w:hAnsi="ˎ̥" w:eastAsia="仿宋_GB2312"/>
          <w:sz w:val="32"/>
          <w:szCs w:val="32"/>
        </w:rPr>
        <w:t>0万元</w:t>
      </w:r>
      <w:r>
        <w:rPr>
          <w:rFonts w:ascii="仿宋_GB2312" w:hAnsi="ˎ̥" w:eastAsia="仿宋_GB2312"/>
          <w:sz w:val="32"/>
          <w:szCs w:val="32"/>
        </w:rPr>
        <w:t>，增长（</w:t>
      </w:r>
      <w:r>
        <w:rPr>
          <w:rFonts w:hint="eastAsia" w:ascii="仿宋_GB2312" w:hAnsi="ˎ̥" w:eastAsia="仿宋_GB2312"/>
          <w:sz w:val="32"/>
          <w:szCs w:val="32"/>
        </w:rPr>
        <w:t>下降</w:t>
      </w:r>
      <w:r>
        <w:rPr>
          <w:rFonts w:ascii="仿宋_GB2312" w:hAnsi="ˎ̥" w:eastAsia="仿宋_GB2312"/>
          <w:sz w:val="32"/>
          <w:szCs w:val="32"/>
        </w:rPr>
        <w:t>）</w:t>
      </w:r>
      <w:r>
        <w:rPr>
          <w:rFonts w:hint="eastAsia" w:ascii="仿宋_GB2312" w:hAnsi="ˎ̥" w:eastAsia="仿宋_GB2312"/>
          <w:sz w:val="32"/>
          <w:szCs w:val="32"/>
        </w:rPr>
        <w:t>0%0。</w:t>
      </w:r>
    </w:p>
    <w:p>
      <w:pPr>
        <w:spacing w:line="578" w:lineRule="exact"/>
        <w:rPr>
          <w:rFonts w:hint="eastAsia" w:ascii="仿宋_GB2312" w:hAnsi="ˎ̥" w:eastAsia="仿宋_GB2312"/>
          <w:sz w:val="32"/>
          <w:szCs w:val="32"/>
        </w:rPr>
      </w:pPr>
      <w:r>
        <w:rPr>
          <w:rFonts w:hint="eastAsia" w:ascii="仿宋_GB2312" w:hAnsi="ˎ̥" w:eastAsia="仿宋_GB2312"/>
          <w:b/>
          <w:sz w:val="32"/>
          <w:szCs w:val="32"/>
        </w:rPr>
        <w:t xml:space="preserve">    2.公务用车购置及运行维护费支出</w:t>
      </w:r>
      <w:r>
        <w:rPr>
          <w:rFonts w:ascii="仿宋_GB2312" w:hAnsi="ˎ̥" w:eastAsia="仿宋_GB2312"/>
          <w:sz w:val="32"/>
          <w:szCs w:val="32"/>
        </w:rPr>
        <w:t>23.35</w:t>
      </w:r>
      <w:r>
        <w:rPr>
          <w:rFonts w:hint="eastAsia" w:ascii="仿宋_GB2312" w:hAnsi="ˎ̥" w:eastAsia="仿宋_GB2312"/>
          <w:sz w:val="32"/>
          <w:szCs w:val="32"/>
        </w:rPr>
        <w:t>万元。其中：</w:t>
      </w:r>
    </w:p>
    <w:p>
      <w:pPr>
        <w:spacing w:line="578" w:lineRule="exact"/>
        <w:ind w:firstLine="643" w:firstLineChars="200"/>
        <w:rPr>
          <w:rFonts w:hint="eastAsia" w:ascii="仿宋_GB2312" w:hAnsi="ˎ̥" w:eastAsia="仿宋_GB2312"/>
          <w:sz w:val="32"/>
          <w:szCs w:val="32"/>
        </w:rPr>
      </w:pPr>
      <w:r>
        <w:rPr>
          <w:rFonts w:hint="eastAsia" w:ascii="仿宋_GB2312" w:hAnsi="ˎ̥" w:eastAsia="仿宋_GB2312"/>
          <w:b/>
          <w:sz w:val="32"/>
          <w:szCs w:val="32"/>
        </w:rPr>
        <w:t>公务用车购置支出</w:t>
      </w:r>
      <w:r>
        <w:rPr>
          <w:rFonts w:ascii="仿宋_GB2312" w:hAnsi="ˎ̥" w:eastAsia="仿宋_GB2312"/>
          <w:sz w:val="32"/>
          <w:szCs w:val="32"/>
        </w:rPr>
        <w:t>0.00</w:t>
      </w:r>
      <w:r>
        <w:rPr>
          <w:rFonts w:hint="eastAsia" w:ascii="仿宋_GB2312" w:hAnsi="ˎ̥" w:eastAsia="仿宋_GB2312"/>
          <w:sz w:val="32"/>
          <w:szCs w:val="32"/>
        </w:rPr>
        <w:t>万元，年末公务用车保有量3辆。</w:t>
      </w:r>
    </w:p>
    <w:p>
      <w:pPr>
        <w:spacing w:line="578" w:lineRule="exact"/>
        <w:ind w:firstLine="643" w:firstLineChars="200"/>
        <w:rPr>
          <w:rFonts w:hint="eastAsia" w:ascii="仿宋_GB2312" w:hAnsi="ˎ̥" w:eastAsia="仿宋_GB2312"/>
          <w:sz w:val="32"/>
          <w:szCs w:val="32"/>
        </w:rPr>
      </w:pPr>
      <w:r>
        <w:rPr>
          <w:rFonts w:hint="eastAsia" w:ascii="仿宋_GB2312" w:hAnsi="ˎ̥" w:eastAsia="仿宋_GB2312"/>
          <w:b/>
          <w:sz w:val="32"/>
          <w:szCs w:val="32"/>
        </w:rPr>
        <w:t>公务用车运行维护费</w:t>
      </w:r>
      <w:r>
        <w:rPr>
          <w:rFonts w:hint="eastAsia" w:ascii="仿宋_GB2312" w:hAnsi="ˎ̥" w:eastAsia="仿宋_GB2312"/>
          <w:sz w:val="32"/>
          <w:szCs w:val="32"/>
        </w:rPr>
        <w:t>支出</w:t>
      </w:r>
      <w:r>
        <w:rPr>
          <w:rFonts w:ascii="仿宋_GB2312" w:hAnsi="ˎ̥" w:eastAsia="仿宋_GB2312"/>
          <w:sz w:val="32"/>
          <w:szCs w:val="32"/>
        </w:rPr>
        <w:t>23.35</w:t>
      </w:r>
      <w:r>
        <w:rPr>
          <w:rFonts w:hint="eastAsia" w:ascii="仿宋_GB2312" w:hAnsi="ˎ̥" w:eastAsia="仿宋_GB2312"/>
          <w:sz w:val="32"/>
          <w:szCs w:val="32"/>
        </w:rPr>
        <w:t>万元，主要用于</w:t>
      </w:r>
      <w:r>
        <w:rPr>
          <w:rFonts w:hint="eastAsia" w:ascii="仿宋" w:hAnsi="仿宋" w:eastAsia="仿宋"/>
          <w:sz w:val="32"/>
          <w:szCs w:val="32"/>
        </w:rPr>
        <w:t>下乡、出差、调研、正常工作开展、车辆维修</w:t>
      </w:r>
      <w:r>
        <w:rPr>
          <w:rFonts w:hint="eastAsia" w:ascii="仿宋_GB2312" w:hAnsi="ˎ̥" w:eastAsia="仿宋_GB2312"/>
          <w:sz w:val="32"/>
          <w:szCs w:val="32"/>
        </w:rPr>
        <w:t>。</w:t>
      </w:r>
    </w:p>
    <w:p>
      <w:pPr>
        <w:spacing w:line="578" w:lineRule="exact"/>
        <w:ind w:firstLine="643" w:firstLineChars="200"/>
        <w:rPr>
          <w:rFonts w:hint="eastAsia" w:ascii="仿宋_GB2312" w:hAnsi="ˎ̥" w:eastAsia="仿宋_GB2312"/>
          <w:bCs/>
          <w:sz w:val="32"/>
          <w:szCs w:val="32"/>
        </w:rPr>
      </w:pPr>
      <w:r>
        <w:rPr>
          <w:rFonts w:hint="eastAsia" w:ascii="仿宋_GB2312" w:hAnsi="ˎ̥" w:eastAsia="仿宋_GB2312"/>
          <w:b/>
          <w:sz w:val="32"/>
          <w:szCs w:val="32"/>
        </w:rPr>
        <w:t>公务用车购置及运行维护费</w:t>
      </w:r>
      <w:r>
        <w:rPr>
          <w:rFonts w:hint="eastAsia" w:ascii="仿宋_GB2312" w:hAnsi="ˎ̥" w:eastAsia="仿宋_GB2312"/>
          <w:bCs/>
          <w:sz w:val="32"/>
          <w:szCs w:val="32"/>
        </w:rPr>
        <w:t>支出决算数</w:t>
      </w:r>
      <w:r>
        <w:rPr>
          <w:rFonts w:hint="eastAsia" w:ascii="仿宋_GB2312" w:hAnsi="ˎ̥" w:eastAsia="仿宋_GB2312"/>
          <w:sz w:val="32"/>
          <w:szCs w:val="32"/>
        </w:rPr>
        <w:t>比预算数增加（减少）0万元，增长（下降）0%。与2022年度</w:t>
      </w:r>
      <w:r>
        <w:rPr>
          <w:rFonts w:ascii="仿宋_GB2312" w:hAnsi="ˎ̥" w:eastAsia="仿宋_GB2312"/>
          <w:sz w:val="32"/>
          <w:szCs w:val="32"/>
        </w:rPr>
        <w:t>相比，</w:t>
      </w:r>
      <w:r>
        <w:rPr>
          <w:rFonts w:hint="eastAsia" w:ascii="仿宋_GB2312" w:hAnsi="ˎ̥" w:eastAsia="仿宋_GB2312"/>
          <w:bCs/>
          <w:sz w:val="32"/>
          <w:szCs w:val="32"/>
        </w:rPr>
        <w:t>公务用车购置及运行维护费</w:t>
      </w:r>
      <w:r>
        <w:rPr>
          <w:rFonts w:hint="eastAsia" w:ascii="仿宋_GB2312" w:hAnsi="ˎ̥" w:eastAsia="仿宋_GB2312"/>
          <w:sz w:val="32"/>
          <w:szCs w:val="32"/>
        </w:rPr>
        <w:t>支出增加2.87万元</w:t>
      </w:r>
      <w:r>
        <w:rPr>
          <w:rFonts w:ascii="仿宋_GB2312" w:hAnsi="ˎ̥" w:eastAsia="仿宋_GB2312"/>
          <w:sz w:val="32"/>
          <w:szCs w:val="32"/>
        </w:rPr>
        <w:t>，增长</w:t>
      </w:r>
      <w:r>
        <w:rPr>
          <w:rFonts w:hint="eastAsia" w:ascii="仿宋_GB2312" w:hAnsi="ˎ̥" w:eastAsia="仿宋_GB2312"/>
          <w:sz w:val="32"/>
          <w:szCs w:val="32"/>
        </w:rPr>
        <w:t>12.19%，主要原因是</w:t>
      </w:r>
      <w:r>
        <w:rPr>
          <w:rFonts w:hint="eastAsia" w:ascii="仿宋" w:hAnsi="仿宋" w:eastAsia="仿宋"/>
          <w:sz w:val="32"/>
          <w:szCs w:val="32"/>
        </w:rPr>
        <w:t>下乡出差调研等工作量增加、车辆维修</w:t>
      </w:r>
      <w:r>
        <w:rPr>
          <w:rFonts w:hint="eastAsia" w:ascii="仿宋_GB2312" w:hAnsi="ˎ̥" w:eastAsia="仿宋_GB2312"/>
          <w:sz w:val="32"/>
          <w:szCs w:val="32"/>
        </w:rPr>
        <w:t>。</w:t>
      </w:r>
    </w:p>
    <w:p>
      <w:pPr>
        <w:spacing w:line="578" w:lineRule="exact"/>
        <w:rPr>
          <w:rFonts w:hint="eastAsia" w:ascii="仿宋_GB2312" w:hAnsi="ˎ̥" w:eastAsia="仿宋_GB2312"/>
          <w:sz w:val="32"/>
          <w:szCs w:val="32"/>
        </w:rPr>
      </w:pPr>
      <w:r>
        <w:rPr>
          <w:rFonts w:hint="eastAsia" w:ascii="仿宋_GB2312" w:hAnsi="ˎ̥" w:eastAsia="仿宋_GB2312"/>
          <w:b/>
          <w:sz w:val="32"/>
          <w:szCs w:val="32"/>
        </w:rPr>
        <w:t xml:space="preserve">    3.公务接待费支出</w:t>
      </w:r>
      <w:r>
        <w:rPr>
          <w:rFonts w:ascii="仿宋_GB2312" w:hAnsi="ˎ̥" w:eastAsia="仿宋_GB2312"/>
          <w:sz w:val="32"/>
          <w:szCs w:val="32"/>
        </w:rPr>
        <w:t>0.19</w:t>
      </w:r>
      <w:r>
        <w:rPr>
          <w:rFonts w:hint="eastAsia" w:ascii="仿宋_GB2312" w:hAnsi="ˎ̥" w:eastAsia="仿宋_GB2312"/>
          <w:sz w:val="32"/>
          <w:szCs w:val="32"/>
        </w:rPr>
        <w:t>万元，其中：</w:t>
      </w:r>
    </w:p>
    <w:p>
      <w:pPr>
        <w:spacing w:line="578" w:lineRule="exact"/>
        <w:ind w:firstLine="643" w:firstLineChars="200"/>
        <w:rPr>
          <w:rFonts w:ascii="仿宋_GB2312" w:hAnsi="ˎ̥" w:eastAsia="仿宋_GB2312"/>
          <w:sz w:val="32"/>
          <w:szCs w:val="32"/>
        </w:rPr>
      </w:pPr>
      <w:r>
        <w:rPr>
          <w:rFonts w:hint="eastAsia" w:ascii="仿宋_GB2312" w:hAnsi="ˎ̥" w:eastAsia="仿宋_GB2312"/>
          <w:b/>
          <w:sz w:val="32"/>
          <w:szCs w:val="32"/>
        </w:rPr>
        <w:t>国内接待费</w:t>
      </w:r>
      <w:r>
        <w:rPr>
          <w:rFonts w:hint="eastAsia" w:ascii="仿宋_GB2312" w:hAnsi="ˎ̥" w:eastAsia="仿宋_GB2312"/>
          <w:sz w:val="32"/>
          <w:szCs w:val="32"/>
        </w:rPr>
        <w:t>支出0.19万元，国内公务接待2批次，接待13人次；主要用于自治区经信厅及浙江工信院工作组、调研组接待餐费。</w:t>
      </w:r>
    </w:p>
    <w:p>
      <w:pPr>
        <w:spacing w:line="578" w:lineRule="exact"/>
        <w:ind w:firstLine="643" w:firstLineChars="200"/>
        <w:rPr>
          <w:rFonts w:hint="eastAsia" w:ascii="仿宋_GB2312" w:hAnsi="ˎ̥" w:eastAsia="仿宋_GB2312"/>
          <w:sz w:val="32"/>
          <w:szCs w:val="32"/>
        </w:rPr>
      </w:pPr>
      <w:r>
        <w:rPr>
          <w:rFonts w:hint="eastAsia" w:ascii="仿宋_GB2312" w:hAnsi="ˎ̥" w:eastAsia="仿宋_GB2312"/>
          <w:b/>
          <w:bCs/>
          <w:sz w:val="32"/>
          <w:szCs w:val="32"/>
        </w:rPr>
        <w:t>国（境）外接待费</w:t>
      </w:r>
      <w:r>
        <w:rPr>
          <w:rFonts w:hint="eastAsia" w:ascii="仿宋_GB2312" w:hAnsi="ˎ̥" w:eastAsia="仿宋_GB2312"/>
          <w:sz w:val="32"/>
          <w:szCs w:val="32"/>
        </w:rPr>
        <w:t>支出0万元，国（境）外公务接待0批次，接待0人次0。</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公务接待费支出决算数比预算数减少0.89万元，下降82.4%。与2022年度</w:t>
      </w:r>
      <w:r>
        <w:rPr>
          <w:rFonts w:ascii="仿宋_GB2312" w:hAnsi="ˎ̥" w:eastAsia="仿宋_GB2312"/>
          <w:sz w:val="32"/>
          <w:szCs w:val="32"/>
        </w:rPr>
        <w:t>相比，</w:t>
      </w:r>
      <w:r>
        <w:rPr>
          <w:rFonts w:hint="eastAsia" w:ascii="仿宋_GB2312" w:hAnsi="ˎ̥" w:eastAsia="仿宋_GB2312"/>
          <w:bCs/>
          <w:sz w:val="32"/>
          <w:szCs w:val="32"/>
        </w:rPr>
        <w:t>公务接待费</w:t>
      </w:r>
      <w:r>
        <w:rPr>
          <w:rFonts w:hint="eastAsia" w:ascii="仿宋_GB2312" w:hAnsi="ˎ̥" w:eastAsia="仿宋_GB2312"/>
          <w:sz w:val="32"/>
          <w:szCs w:val="32"/>
        </w:rPr>
        <w:t>支出减少0.06万元</w:t>
      </w:r>
      <w:r>
        <w:rPr>
          <w:rFonts w:ascii="仿宋_GB2312" w:hAnsi="ˎ̥" w:eastAsia="仿宋_GB2312"/>
          <w:sz w:val="32"/>
          <w:szCs w:val="32"/>
        </w:rPr>
        <w:t>，</w:t>
      </w:r>
      <w:r>
        <w:rPr>
          <w:rFonts w:hint="eastAsia" w:ascii="仿宋_GB2312" w:hAnsi="ˎ̥" w:eastAsia="仿宋_GB2312"/>
          <w:sz w:val="32"/>
          <w:szCs w:val="32"/>
        </w:rPr>
        <w:t>下降31.58%，主要原因是接待人次减少了。</w:t>
      </w:r>
    </w:p>
    <w:p>
      <w:pPr>
        <w:spacing w:line="578"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十、其他重要事项情况说明</w:t>
      </w:r>
    </w:p>
    <w:p>
      <w:pPr>
        <w:spacing w:line="578" w:lineRule="exact"/>
        <w:ind w:firstLine="640" w:firstLineChars="200"/>
        <w:rPr>
          <w:rFonts w:hint="eastAsia" w:ascii="楷体" w:hAnsi="楷体" w:eastAsia="楷体" w:cs="楷体"/>
          <w:bCs/>
          <w:sz w:val="32"/>
          <w:szCs w:val="32"/>
        </w:rPr>
      </w:pPr>
      <w:bookmarkStart w:id="97" w:name="_Toc32639_WPSOffice_Level2"/>
      <w:bookmarkStart w:id="98" w:name="_Toc18325_WPSOffice_Level2"/>
      <w:bookmarkStart w:id="99" w:name="_Toc5978_WPSOffice_Level2"/>
      <w:bookmarkStart w:id="100" w:name="_Toc23598_WPSOffice_Level2"/>
      <w:bookmarkStart w:id="101" w:name="_Toc15565_WPSOffice_Level2"/>
      <w:bookmarkStart w:id="102" w:name="_Toc15262_WPSOffice_Level2"/>
      <w:r>
        <w:rPr>
          <w:rFonts w:hint="eastAsia" w:ascii="楷体" w:hAnsi="楷体" w:eastAsia="楷体" w:cs="楷体"/>
          <w:bCs/>
          <w:sz w:val="32"/>
          <w:szCs w:val="32"/>
        </w:rPr>
        <w:t>（一）机关运行经费支出情况。</w:t>
      </w:r>
      <w:bookmarkEnd w:id="97"/>
      <w:bookmarkEnd w:id="98"/>
      <w:bookmarkEnd w:id="99"/>
      <w:bookmarkEnd w:id="100"/>
      <w:bookmarkEnd w:id="101"/>
      <w:bookmarkEnd w:id="102"/>
    </w:p>
    <w:p>
      <w:pPr>
        <w:spacing w:line="578" w:lineRule="exact"/>
        <w:ind w:firstLine="640" w:firstLineChars="200"/>
        <w:rPr>
          <w:rFonts w:hint="eastAsia" w:ascii="仿宋_GB2312" w:hAnsi="ˎ̥" w:eastAsia="仿宋_GB2312"/>
          <w:sz w:val="32"/>
          <w:szCs w:val="32"/>
          <w:lang w:bidi="ar"/>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年度市经信局机关运行经费74.97万元（为部门决算中行政单位和参公事业单位财政拨款基本支出中公用经费支出之和，事业单位没有机关运行经费支出），比年初预算减少1.26万元，降低1.68%。主要原因是：</w:t>
      </w:r>
      <w:r>
        <w:rPr>
          <w:rFonts w:hint="eastAsia" w:ascii="仿宋_GB2312" w:hAnsi="ˎ̥" w:eastAsia="仿宋_GB2312"/>
          <w:sz w:val="32"/>
          <w:szCs w:val="32"/>
          <w:lang w:bidi="ar"/>
        </w:rPr>
        <w:t>资产运行维护支出减少。</w:t>
      </w:r>
    </w:p>
    <w:p>
      <w:pPr>
        <w:spacing w:line="578" w:lineRule="exact"/>
        <w:ind w:firstLine="640" w:firstLineChars="200"/>
        <w:rPr>
          <w:rFonts w:hint="eastAsia" w:ascii="楷体" w:hAnsi="楷体" w:eastAsia="楷体" w:cs="楷体"/>
          <w:bCs/>
          <w:sz w:val="32"/>
          <w:szCs w:val="32"/>
        </w:rPr>
      </w:pPr>
      <w:bookmarkStart w:id="103" w:name="_Toc13084_WPSOffice_Level2"/>
      <w:bookmarkStart w:id="104" w:name="_Toc30383_WPSOffice_Level2"/>
      <w:bookmarkStart w:id="105" w:name="_Toc32689_WPSOffice_Level2"/>
      <w:bookmarkStart w:id="106" w:name="_Toc25333_WPSOffice_Level2"/>
      <w:bookmarkStart w:id="107" w:name="_Toc3131_WPSOffice_Level2"/>
      <w:bookmarkStart w:id="108" w:name="_Toc23966_WPSOffice_Level2"/>
      <w:r>
        <w:rPr>
          <w:rFonts w:hint="eastAsia" w:ascii="楷体" w:hAnsi="楷体" w:eastAsia="楷体" w:cs="楷体"/>
          <w:bCs/>
          <w:sz w:val="32"/>
          <w:szCs w:val="32"/>
        </w:rPr>
        <w:t>（二）政府采购支出情况。</w:t>
      </w:r>
      <w:bookmarkEnd w:id="103"/>
      <w:bookmarkEnd w:id="104"/>
      <w:bookmarkEnd w:id="105"/>
      <w:bookmarkEnd w:id="106"/>
      <w:bookmarkEnd w:id="107"/>
      <w:bookmarkEnd w:id="108"/>
    </w:p>
    <w:p>
      <w:pPr>
        <w:spacing w:line="578" w:lineRule="exact"/>
        <w:ind w:firstLine="640" w:firstLineChars="200"/>
        <w:jc w:val="left"/>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市经信局政府采购支出总额913.8万元，其中：政府采购货物支出0万元、政府采购工程支出0万元、政府采购服务支出913.8万元。授予中小企业合同金额0万元，占政府采购支出总额的0%，其中：授予小微企业合同金额0万元，占</w:t>
      </w:r>
      <w:r>
        <w:rPr>
          <w:rFonts w:hint="eastAsia" w:ascii="仿宋_GB2312" w:hAnsi="仿宋_GB2312" w:eastAsia="仿宋_GB2312" w:cs="仿宋_GB2312"/>
          <w:kern w:val="0"/>
          <w:sz w:val="32"/>
          <w:szCs w:val="32"/>
          <w:lang w:bidi="ar"/>
        </w:rPr>
        <w:t>授予中小企业合同金额</w:t>
      </w:r>
      <w:r>
        <w:rPr>
          <w:rFonts w:hint="eastAsia" w:ascii="仿宋_GB2312" w:hAnsi="仿宋_GB2312" w:eastAsia="仿宋_GB2312" w:cs="仿宋_GB2312"/>
          <w:sz w:val="32"/>
          <w:szCs w:val="32"/>
        </w:rPr>
        <w:t>的</w:t>
      </w:r>
      <w:r>
        <w:rPr>
          <w:rFonts w:hint="eastAsia" w:ascii="仿宋_GB2312" w:hAnsi="ˎ̥" w:eastAsia="仿宋_GB2312"/>
          <w:sz w:val="32"/>
          <w:szCs w:val="32"/>
        </w:rPr>
        <w:t>0%。</w:t>
      </w:r>
    </w:p>
    <w:p>
      <w:pPr>
        <w:spacing w:line="578" w:lineRule="exact"/>
        <w:ind w:firstLine="640" w:firstLineChars="200"/>
        <w:rPr>
          <w:rFonts w:hint="eastAsia" w:ascii="楷体" w:hAnsi="楷体" w:eastAsia="楷体" w:cs="楷体"/>
          <w:bCs/>
          <w:sz w:val="32"/>
          <w:szCs w:val="32"/>
        </w:rPr>
      </w:pPr>
      <w:bookmarkStart w:id="109" w:name="_Toc10902_WPSOffice_Level2"/>
      <w:bookmarkStart w:id="110" w:name="_Toc15129_WPSOffice_Level2"/>
      <w:bookmarkStart w:id="111" w:name="_Toc19989_WPSOffice_Level2"/>
      <w:bookmarkStart w:id="112" w:name="_Toc527_WPSOffice_Level2"/>
      <w:bookmarkStart w:id="113" w:name="_Toc6016_WPSOffice_Level2"/>
      <w:bookmarkStart w:id="114" w:name="_Toc29584_WPSOffice_Level2"/>
      <w:r>
        <w:rPr>
          <w:rFonts w:hint="eastAsia" w:ascii="楷体" w:hAnsi="楷体" w:eastAsia="楷体" w:cs="楷体"/>
          <w:bCs/>
          <w:sz w:val="32"/>
          <w:szCs w:val="32"/>
        </w:rPr>
        <w:t>（三）国有资产占用情况。</w:t>
      </w:r>
      <w:bookmarkEnd w:id="109"/>
      <w:bookmarkEnd w:id="110"/>
      <w:bookmarkEnd w:id="111"/>
      <w:bookmarkEnd w:id="112"/>
      <w:bookmarkEnd w:id="113"/>
      <w:bookmarkEnd w:id="114"/>
    </w:p>
    <w:p>
      <w:pPr>
        <w:spacing w:line="578" w:lineRule="exact"/>
        <w:ind w:firstLine="640" w:firstLineChars="200"/>
        <w:rPr>
          <w:rFonts w:hint="eastAsia" w:ascii="仿宋_GB2312" w:hAnsi="ˎ̥" w:eastAsia="仿宋_GB2312"/>
          <w:sz w:val="32"/>
          <w:szCs w:val="32"/>
        </w:rPr>
      </w:pPr>
      <w:r>
        <w:rPr>
          <w:rFonts w:hint="eastAsia" w:ascii="仿宋_GB2312" w:hAnsi="ˎ̥" w:eastAsia="仿宋_GB2312"/>
          <w:bCs/>
          <w:sz w:val="32"/>
          <w:szCs w:val="32"/>
        </w:rPr>
        <w:t>截至202</w:t>
      </w:r>
      <w:r>
        <w:rPr>
          <w:rFonts w:ascii="仿宋_GB2312" w:hAnsi="ˎ̥" w:eastAsia="仿宋_GB2312"/>
          <w:bCs/>
          <w:sz w:val="32"/>
          <w:szCs w:val="32"/>
        </w:rPr>
        <w:t>3</w:t>
      </w:r>
      <w:r>
        <w:rPr>
          <w:rFonts w:hint="eastAsia" w:ascii="仿宋_GB2312" w:hAnsi="ˎ̥" w:eastAsia="仿宋_GB2312"/>
          <w:bCs/>
          <w:sz w:val="32"/>
          <w:szCs w:val="32"/>
        </w:rPr>
        <w:t>年12月31日，本单位拥有</w:t>
      </w:r>
      <w:r>
        <w:rPr>
          <w:rFonts w:hint="eastAsia" w:ascii="仿宋_GB2312" w:hAnsi="ˎ̥" w:eastAsia="仿宋_GB2312"/>
          <w:sz w:val="32"/>
          <w:szCs w:val="32"/>
        </w:rPr>
        <w:t>房屋面积1202平方米，其中：办公用房0平方米，业务用房0平方米，其他（不含构筑物）1202平方米。</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本单位共有车辆3辆，其中，副部（省）级及以上领导用车0辆、主要负责人用车0辆、机要通信用车0辆、应急保障用车0辆、执法执勤用车0辆、特种专业技术用车0辆、离退休干部服务用车0辆、其他用车3辆，其他用车主要是开展正常下乡调研出差等工作。单价100万元（含）以上设备（不含车辆）0台（套）。</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年末在建工程0万元。</w:t>
      </w:r>
    </w:p>
    <w:p>
      <w:pPr>
        <w:spacing w:line="578" w:lineRule="exact"/>
        <w:jc w:val="center"/>
        <w:rPr>
          <w:rFonts w:hint="eastAsia" w:ascii="黑体" w:hAnsi="ˎ̥" w:eastAsia="黑体"/>
          <w:sz w:val="32"/>
          <w:szCs w:val="32"/>
        </w:rPr>
      </w:pPr>
      <w:bookmarkStart w:id="115" w:name="_Toc11039_WPSOffice_Level1"/>
      <w:bookmarkStart w:id="116" w:name="_Toc8874_WPSOffice_Level1"/>
      <w:bookmarkStart w:id="117" w:name="_Toc17580_WPSOffice_Level1"/>
      <w:bookmarkStart w:id="118" w:name="_Toc15425_WPSOffice_Level1"/>
      <w:bookmarkStart w:id="119" w:name="_Toc4398_WPSOffice_Level1"/>
      <w:bookmarkStart w:id="120" w:name="_Toc8808_WPSOffice_Level1"/>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r>
        <w:rPr>
          <w:rFonts w:hint="eastAsia" w:ascii="黑体" w:hAnsi="ˎ̥" w:eastAsia="黑体"/>
          <w:sz w:val="32"/>
          <w:szCs w:val="32"/>
        </w:rPr>
        <w:t>第四部分  名词解释</w:t>
      </w:r>
      <w:bookmarkEnd w:id="115"/>
      <w:bookmarkEnd w:id="116"/>
      <w:bookmarkEnd w:id="117"/>
      <w:bookmarkEnd w:id="118"/>
      <w:bookmarkEnd w:id="119"/>
      <w:bookmarkEnd w:id="120"/>
    </w:p>
    <w:p>
      <w:pPr>
        <w:spacing w:line="578" w:lineRule="exact"/>
        <w:jc w:val="center"/>
        <w:rPr>
          <w:rFonts w:hint="eastAsia" w:ascii="黑体" w:hAnsi="ˎ̥" w:eastAsia="黑体"/>
          <w:sz w:val="32"/>
          <w:szCs w:val="32"/>
        </w:rPr>
      </w:pP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财政拨款收入：指同级政府财政部门当年拨付的各类财政拨款。</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二、上级补助收入：指事业单位从主管部门和上级单位取得的非财政补助收入。</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三、事业收入：指事业单位开展专业业务活动及辅助活动取得的收入。</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四、经营收入：指事业单位在专业业务活动及其辅助活动之外开展非独立核算经营活动取得的收入。</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五、附属单位上缴收入：指事业单位取得附属独立核算单位根据有关规定上缴的收入。</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六、其他收入：指除上述“财政拨款收入”“事业收入”“上级补助收入”“经营收入”“附属单位上缴收入”等以外的收入。</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七、使用非财政拨款结余：指事业单位在当年的“财政拨款收入”“事业收入”“经营收入”“其他收入”等不足以安排当年支出的情况下，使用非同级财政拨款结余资金弥补本年度收支缺口。</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八、年初结转和结余：指以前年度尚未完成、结转到本年按有关规定继续使用的资金，或项目已完成等产生的结余资金。</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九、结余分配：指事业单位缴纳企业所得税以及从非财政拨款结余或经营结余中提取各类结余的情况。</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十、年末结转和结余：指本年度或以前年度预算安排、因客观条件发生变化无法按原计划实施，需要延迟到以后年度按有关规定继续使用的资金（不包括事业单位非财政拨款结余和专用结余）。</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十一、基本支出：指为保障机构正常运转、完成日常工作任务而发生的人员支出和公用支出。</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十二、项目支出：指在基本支出之外为完成特定行政任务和事业发展目标所发生的支出。</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十三、经营支出：指事业单位在专业业务活动及其辅助活动之外开展非独立核算经营活动发生的支出。</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十四、“三公”经费：纳入本级财政预决算管理的“三公”经费，是指用一般公共预算财政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spacing w:line="578" w:lineRule="exact"/>
        <w:ind w:firstLine="645"/>
        <w:rPr>
          <w:rFonts w:hint="eastAsia" w:ascii="仿宋_GB2312" w:hAnsi="ˎ̥" w:eastAsia="仿宋_GB2312"/>
          <w:sz w:val="32"/>
          <w:szCs w:val="32"/>
        </w:rPr>
      </w:pPr>
      <w:r>
        <w:rPr>
          <w:rFonts w:hint="eastAsia" w:ascii="仿宋_GB2312" w:hAnsi="ˎ̥" w:eastAsia="仿宋_GB2312"/>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spacing w:line="578" w:lineRule="exact"/>
        <w:ind w:firstLine="645"/>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支出功能分类的名词解释，各部门（单位）根据实际支出情况填列，可参阅财政部印发的《202</w:t>
      </w:r>
      <w:r>
        <w:rPr>
          <w:rFonts w:ascii="仿宋_GB2312" w:hAnsi="ˎ̥" w:eastAsia="仿宋_GB2312"/>
          <w:sz w:val="32"/>
          <w:szCs w:val="32"/>
        </w:rPr>
        <w:t>3</w:t>
      </w:r>
      <w:r>
        <w:rPr>
          <w:rFonts w:hint="eastAsia" w:ascii="仿宋_GB2312" w:hAnsi="ˎ̥" w:eastAsia="仿宋_GB2312"/>
          <w:sz w:val="32"/>
          <w:szCs w:val="32"/>
        </w:rPr>
        <w:t>年政府收支分类科目》）</w:t>
      </w:r>
    </w:p>
    <w:p>
      <w:pPr>
        <w:spacing w:line="578" w:lineRule="exact"/>
        <w:ind w:firstLine="645"/>
        <w:rPr>
          <w:rFonts w:hint="eastAsia" w:ascii="仿宋_GB2312" w:hAnsi="ˎ̥" w:eastAsia="仿宋_GB2312"/>
          <w:sz w:val="32"/>
          <w:szCs w:val="32"/>
        </w:rPr>
      </w:pPr>
      <w:r>
        <w:rPr>
          <w:rFonts w:hint="eastAsia" w:ascii="仿宋_GB2312" w:hAnsi="ˎ̥" w:eastAsia="仿宋_GB2312"/>
          <w:sz w:val="32"/>
          <w:szCs w:val="32"/>
        </w:rPr>
        <w:t>……</w:t>
      </w:r>
    </w:p>
    <w:p>
      <w:pPr>
        <w:spacing w:line="578" w:lineRule="exact"/>
      </w:pPr>
    </w:p>
    <w:sectPr>
      <w:footerReference r:id="rId3" w:type="default"/>
      <w:footerReference r:id="rId4" w:type="even"/>
      <w:pgSz w:w="11906" w:h="16838"/>
      <w:pgMar w:top="2098" w:right="1474" w:bottom="172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10" w:usb3="00000000" w:csb0="00040000" w:csb1="00000000"/>
  </w:font>
  <w:font w:name="方正黑体_GBK">
    <w:altName w:val="微软雅黑"/>
    <w:panose1 w:val="03000509000000000000"/>
    <w:charset w:val="86"/>
    <w:family w:val="script"/>
    <w:pitch w:val="default"/>
    <w:sig w:usb0="00000001" w:usb1="080E0000" w:usb2="00000010" w:usb3="00000000" w:csb0="00040000" w:csb1="00000000"/>
  </w:font>
  <w:font w:name="方正楷体_GBK">
    <w:altName w:val="微软雅黑"/>
    <w:panose1 w:val="03000509000000000000"/>
    <w:charset w:val="86"/>
    <w:family w:val="script"/>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lang/>
      </w:rPr>
      <w:t>16</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lZDk5ZTQ4MTFjNGY3MjIxNTdiOWMzZmQwMWMifQ=="/>
    <w:docVar w:name="KSO_WPS_MARK_KEY" w:val="43b60a66-922d-47a3-b8a6-197fc9de5a04"/>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3A09"/>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60B18"/>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16A1196"/>
    <w:rsid w:val="0A387DCC"/>
    <w:rsid w:val="0A900D36"/>
    <w:rsid w:val="0C0A55FD"/>
    <w:rsid w:val="0E193301"/>
    <w:rsid w:val="0E9A3AAB"/>
    <w:rsid w:val="0FC80124"/>
    <w:rsid w:val="132259ED"/>
    <w:rsid w:val="136F98C7"/>
    <w:rsid w:val="137C641A"/>
    <w:rsid w:val="17427E68"/>
    <w:rsid w:val="17602EFE"/>
    <w:rsid w:val="1CA52F2E"/>
    <w:rsid w:val="1E3630B9"/>
    <w:rsid w:val="1EFC3A2F"/>
    <w:rsid w:val="1F482A98"/>
    <w:rsid w:val="20EA1DAD"/>
    <w:rsid w:val="266D6DD8"/>
    <w:rsid w:val="26EEC2B5"/>
    <w:rsid w:val="31521A74"/>
    <w:rsid w:val="37FDA7E2"/>
    <w:rsid w:val="3ACA0721"/>
    <w:rsid w:val="3B0B4375"/>
    <w:rsid w:val="3F3774F6"/>
    <w:rsid w:val="3FE61EE5"/>
    <w:rsid w:val="44EC46E6"/>
    <w:rsid w:val="45C140D9"/>
    <w:rsid w:val="4A783EDC"/>
    <w:rsid w:val="4C6877E5"/>
    <w:rsid w:val="4EA86137"/>
    <w:rsid w:val="4F564FE7"/>
    <w:rsid w:val="51CC1C32"/>
    <w:rsid w:val="52465982"/>
    <w:rsid w:val="53F207E9"/>
    <w:rsid w:val="54FD7A40"/>
    <w:rsid w:val="56CA7FD0"/>
    <w:rsid w:val="587005ED"/>
    <w:rsid w:val="5F7D3333"/>
    <w:rsid w:val="5F9E2BD4"/>
    <w:rsid w:val="5FE55D62"/>
    <w:rsid w:val="61385890"/>
    <w:rsid w:val="6210294A"/>
    <w:rsid w:val="66020F6F"/>
    <w:rsid w:val="6AA00B32"/>
    <w:rsid w:val="6D0A3335"/>
    <w:rsid w:val="6F670F9B"/>
    <w:rsid w:val="70086E46"/>
    <w:rsid w:val="70E67CD2"/>
    <w:rsid w:val="757A4300"/>
    <w:rsid w:val="75956FFF"/>
    <w:rsid w:val="784C0541"/>
    <w:rsid w:val="78F677F2"/>
    <w:rsid w:val="7BF020A2"/>
    <w:rsid w:val="7DB0448C"/>
    <w:rsid w:val="7E5F9AA4"/>
    <w:rsid w:val="7EAE64D6"/>
    <w:rsid w:val="7EC966F9"/>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alloon Text"/>
    <w:basedOn w:val="1"/>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uiPriority w:val="0"/>
    <w:rPr>
      <w:b/>
      <w:bCs/>
    </w:rPr>
  </w:style>
  <w:style w:type="character" w:styleId="9">
    <w:name w:val="page number"/>
    <w:qFormat/>
    <w:uiPriority w:val="0"/>
  </w:style>
  <w:style w:type="character" w:styleId="10">
    <w:name w:val="annotation reference"/>
    <w:uiPriority w:val="0"/>
    <w:rPr>
      <w:sz w:val="21"/>
      <w:szCs w:val="21"/>
    </w:rPr>
  </w:style>
  <w:style w:type="character" w:customStyle="1" w:styleId="11">
    <w:name w:val="批注框文本 Char"/>
    <w:uiPriority w:val="0"/>
    <w:rPr>
      <w:kern w:val="2"/>
      <w:sz w:val="18"/>
      <w:szCs w:val="18"/>
    </w:rPr>
  </w:style>
  <w:style w:type="character" w:customStyle="1" w:styleId="12">
    <w:name w:val="批注主题 Char"/>
    <w:uiPriority w:val="0"/>
    <w:rPr>
      <w:b/>
      <w:bCs/>
      <w:kern w:val="2"/>
      <w:sz w:val="21"/>
      <w:szCs w:val="24"/>
    </w:rPr>
  </w:style>
  <w:style w:type="character" w:customStyle="1" w:styleId="13">
    <w:name w:val="批注文字 Char"/>
    <w:uiPriority w:val="0"/>
    <w:rPr>
      <w:kern w:val="2"/>
      <w:sz w:val="21"/>
      <w:szCs w:val="24"/>
    </w:rPr>
  </w:style>
  <w:style w:type="character" w:customStyle="1" w:styleId="14">
    <w:name w:val="页眉 Char"/>
    <w:uiPriority w:val="0"/>
    <w:rPr>
      <w:kern w:val="2"/>
      <w:sz w:val="18"/>
      <w:szCs w:val="18"/>
    </w:rPr>
  </w:style>
  <w:style w:type="paragraph" w:customStyle="1" w:styleId="15">
    <w:name w:val="List Paragraph"/>
    <w:basedOn w:val="1"/>
    <w:qFormat/>
    <w:uiPriority w:val="0"/>
    <w:pPr>
      <w:ind w:firstLine="420" w:firstLineChars="200"/>
    </w:pPr>
    <w:rPr>
      <w:rFonts w:ascii="Calibri" w:hAnsi="Calibri"/>
    </w:rPr>
  </w:style>
  <w:style w:type="paragraph" w:customStyle="1" w:styleId="16">
    <w:name w:val="WPSOffice手动目录 1"/>
    <w:qFormat/>
    <w:uiPriority w:val="0"/>
    <w:rPr>
      <w:lang w:val="en-US" w:eastAsia="zh-CN" w:bidi="ar-SA"/>
    </w:rPr>
  </w:style>
  <w:style w:type="paragraph" w:customStyle="1" w:styleId="17">
    <w:name w:val="WPSOffice手动目录 2"/>
    <w:qFormat/>
    <w:uiPriority w:val="0"/>
    <w:pPr>
      <w:ind w:leftChars="200"/>
    </w:pPr>
    <w:rPr>
      <w:lang w:val="en-US" w:eastAsia="zh-CN" w:bidi="ar-SA"/>
    </w:rPr>
  </w:style>
  <w:style w:type="paragraph" w:customStyle="1" w:styleId="18">
    <w:name w:val="正文1 Char Char Char"/>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6572</Words>
  <Characters>7214</Characters>
  <Lines>57</Lines>
  <Paragraphs>16</Paragraphs>
  <TotalTime>1</TotalTime>
  <ScaleCrop>false</ScaleCrop>
  <LinksUpToDate>false</LinksUpToDate>
  <CharactersWithSpaces>7275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Administrator</cp:lastModifiedBy>
  <cp:lastPrinted>2024-09-23T08:53:00Z</cp:lastPrinted>
  <dcterms:modified xsi:type="dcterms:W3CDTF">2024-09-26T08:28:37Z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2A59745143ED4092AAA27F186939EC3F_13</vt:lpwstr>
  </property>
</Properties>
</file>