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方正小标宋_GBK" w:hAnsi="仿宋" w:eastAsia="方正小标宋_GBK"/>
          <w:sz w:val="32"/>
          <w:szCs w:val="32"/>
        </w:rPr>
      </w:pPr>
    </w:p>
    <w:p>
      <w:pPr>
        <w:pStyle w:val="2"/>
        <w:pageBreakBefore w:val="0"/>
        <w:kinsoku/>
        <w:wordWrap/>
        <w:overflowPunct/>
        <w:topLinePunct w:val="0"/>
        <w:bidi w:val="0"/>
        <w:snapToGrid/>
        <w:spacing w:line="576" w:lineRule="exact"/>
        <w:textAlignment w:val="auto"/>
      </w:pPr>
    </w:p>
    <w:p>
      <w:pPr>
        <w:pageBreakBefore w:val="0"/>
        <w:kinsoku/>
        <w:wordWrap/>
        <w:overflowPunct/>
        <w:topLinePunct w:val="0"/>
        <w:bidi w:val="0"/>
        <w:snapToGrid/>
        <w:spacing w:line="576" w:lineRule="exact"/>
        <w:textAlignment w:val="auto"/>
        <w:rPr>
          <w:rFonts w:ascii="方正小标宋_GBK" w:hAnsi="仿宋" w:eastAsia="方正小标宋_GBK"/>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44"/>
          <w:szCs w:val="44"/>
        </w:rPr>
      </w:pPr>
      <w:r>
        <w:rPr>
          <w:rFonts w:hint="eastAsia" w:ascii="方正小标宋_GBK" w:hAnsi="仿宋" w:eastAsia="方正小标宋_GBK"/>
          <w:sz w:val="44"/>
          <w:szCs w:val="44"/>
        </w:rPr>
        <w:t>那曲市审计局202</w:t>
      </w:r>
      <w:r>
        <w:rPr>
          <w:rFonts w:hint="eastAsia" w:ascii="方正小标宋_GBK" w:hAnsi="仿宋" w:eastAsia="方正小标宋_GBK"/>
          <w:sz w:val="44"/>
          <w:szCs w:val="44"/>
          <w:lang w:val="en-US" w:eastAsia="zh-CN"/>
        </w:rPr>
        <w:t>5</w:t>
      </w:r>
      <w:r>
        <w:rPr>
          <w:rFonts w:hint="eastAsia" w:ascii="方正小标宋_GBK" w:hAnsi="仿宋" w:eastAsia="方正小标宋_GBK"/>
          <w:sz w:val="44"/>
          <w:szCs w:val="44"/>
        </w:rPr>
        <w:t>年度部门（单位）预算</w:t>
      </w: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jc w:val="center"/>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年01月1</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p>
    <w:p>
      <w:pPr>
        <w:pageBreakBefore w:val="0"/>
        <w:kinsoku/>
        <w:wordWrap/>
        <w:overflowPunct/>
        <w:topLinePunct w:val="0"/>
        <w:bidi w:val="0"/>
        <w:snapToGrid/>
        <w:spacing w:line="576" w:lineRule="exact"/>
        <w:textAlignment w:val="auto"/>
        <w:rPr>
          <w:rFonts w:ascii="仿宋_GB2312" w:hAnsi="仿宋" w:eastAsia="仿宋_GB2312"/>
          <w:sz w:val="44"/>
          <w:szCs w:val="44"/>
        </w:rPr>
      </w:pPr>
    </w:p>
    <w:p>
      <w:pPr>
        <w:pStyle w:val="2"/>
        <w:pageBreakBefore w:val="0"/>
        <w:kinsoku/>
        <w:wordWrap/>
        <w:overflowPunct/>
        <w:topLinePunct w:val="0"/>
        <w:bidi w:val="0"/>
        <w:snapToGrid/>
        <w:spacing w:line="576" w:lineRule="exact"/>
        <w:textAlignment w:val="auto"/>
        <w:rPr>
          <w:rFonts w:ascii="仿宋_GB2312" w:hAnsi="仿宋" w:eastAsia="仿宋_GB2312"/>
          <w:sz w:val="44"/>
          <w:szCs w:val="44"/>
        </w:rPr>
      </w:pPr>
    </w:p>
    <w:p>
      <w:pPr>
        <w:pageBreakBefore w:val="0"/>
        <w:kinsoku/>
        <w:wordWrap/>
        <w:overflowPunct/>
        <w:topLinePunct w:val="0"/>
        <w:bidi w:val="0"/>
        <w:snapToGrid/>
        <w:spacing w:line="576" w:lineRule="exact"/>
        <w:textAlignment w:val="auto"/>
        <w:rPr>
          <w:rFonts w:ascii="仿宋_GB2312" w:hAnsi="仿宋" w:eastAsia="仿宋_GB2312"/>
          <w:sz w:val="44"/>
          <w:szCs w:val="44"/>
        </w:rPr>
      </w:pPr>
    </w:p>
    <w:p>
      <w:pPr>
        <w:pStyle w:val="2"/>
        <w:pageBreakBefore w:val="0"/>
        <w:kinsoku/>
        <w:wordWrap/>
        <w:overflowPunct/>
        <w:topLinePunct w:val="0"/>
        <w:bidi w:val="0"/>
        <w:snapToGrid/>
        <w:spacing w:line="576" w:lineRule="exact"/>
        <w:textAlignment w:val="auto"/>
        <w:rPr>
          <w:rFonts w:ascii="仿宋_GB2312" w:hAnsi="仿宋" w:eastAsia="仿宋_GB2312"/>
          <w:sz w:val="44"/>
          <w:szCs w:val="44"/>
        </w:rPr>
      </w:pPr>
    </w:p>
    <w:p>
      <w:pPr>
        <w:pageBreakBefore w:val="0"/>
        <w:kinsoku/>
        <w:wordWrap/>
        <w:overflowPunct/>
        <w:topLinePunct w:val="0"/>
        <w:bidi w:val="0"/>
        <w:snapToGrid/>
        <w:spacing w:line="576" w:lineRule="exact"/>
        <w:textAlignment w:val="auto"/>
      </w:pPr>
    </w:p>
    <w:p>
      <w:pPr>
        <w:pageBreakBefore w:val="0"/>
        <w:kinsoku/>
        <w:wordWrap/>
        <w:overflowPunct/>
        <w:topLinePunct w:val="0"/>
        <w:bidi w:val="0"/>
        <w:snapToGrid/>
        <w:spacing w:line="576" w:lineRule="exact"/>
        <w:jc w:val="center"/>
        <w:textAlignment w:val="auto"/>
        <w:rPr>
          <w:rFonts w:ascii="仿宋_GB2312" w:hAnsi="仿宋" w:eastAsia="仿宋_GB2312"/>
          <w:sz w:val="44"/>
          <w:szCs w:val="44"/>
        </w:rPr>
      </w:pPr>
      <w:r>
        <w:rPr>
          <w:rFonts w:hint="eastAsia" w:ascii="仿宋_GB2312" w:hAnsi="仿宋" w:eastAsia="仿宋_GB2312"/>
          <w:sz w:val="44"/>
          <w:szCs w:val="44"/>
        </w:rPr>
        <w:t>目  录</w:t>
      </w:r>
    </w:p>
    <w:sdt>
      <w:sdtPr>
        <w:rPr>
          <w:rFonts w:ascii="Times New Roman" w:hAnsi="Times New Roman" w:eastAsia="宋体" w:cs="Times New Roman"/>
          <w:bCs w:val="0"/>
          <w:color w:val="auto"/>
          <w:kern w:val="2"/>
          <w:sz w:val="21"/>
          <w:szCs w:val="24"/>
          <w:lang w:val="zh-CN" w:bidi="ar-SA"/>
        </w:rPr>
        <w:id w:val="-2048901356"/>
        <w:docPartObj>
          <w:docPartGallery w:val="Table of Contents"/>
          <w:docPartUnique/>
        </w:docPartObj>
      </w:sdtPr>
      <w:sdtEndPr>
        <w:rPr>
          <w:rFonts w:ascii="Times New Roman" w:hAnsi="Times New Roman" w:eastAsia="宋体" w:cs="Times New Roman"/>
          <w:b/>
          <w:bCs w:val="0"/>
          <w:color w:val="auto"/>
          <w:kern w:val="2"/>
          <w:sz w:val="21"/>
          <w:szCs w:val="24"/>
          <w:lang w:val="zh-CN" w:bidi="ar-SA"/>
        </w:rPr>
      </w:sdtEndPr>
      <w:sdtContent>
        <w:p>
          <w:pPr>
            <w:pStyle w:val="21"/>
            <w:pageBreakBefore w:val="0"/>
            <w:kinsoku/>
            <w:wordWrap/>
            <w:overflowPunct/>
            <w:topLinePunct w:val="0"/>
            <w:bidi w:val="0"/>
            <w:snapToGrid/>
            <w:spacing w:line="576" w:lineRule="exact"/>
            <w:textAlignment w:val="auto"/>
          </w:pP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TOC \o "1-3" \h \z \u </w:instrText>
          </w:r>
          <w:r>
            <w:fldChar w:fldCharType="separate"/>
          </w:r>
          <w:r>
            <w:fldChar w:fldCharType="begin"/>
          </w:r>
          <w:r>
            <w:instrText xml:space="preserve"> HYPERLINK \l "_Toc156494465" </w:instrText>
          </w:r>
          <w:r>
            <w:fldChar w:fldCharType="separate"/>
          </w:r>
          <w:r>
            <w:rPr>
              <w:rStyle w:val="15"/>
              <w:rFonts w:hint="eastAsia"/>
              <w:lang w:bidi="ar-SA"/>
            </w:rPr>
            <w:t>第一部分</w:t>
          </w:r>
          <w:r>
            <w:rPr>
              <w:rStyle w:val="15"/>
              <w:lang w:bidi="ar-SA"/>
            </w:rPr>
            <w:t xml:space="preserve">  </w:t>
          </w:r>
          <w:r>
            <w:rPr>
              <w:rStyle w:val="15"/>
              <w:rFonts w:hint="eastAsia"/>
              <w:lang w:bidi="ar-SA"/>
            </w:rPr>
            <w:t>那曲市审计局概况</w:t>
          </w:r>
          <w:r>
            <w:tab/>
          </w:r>
          <w:r>
            <w:rPr>
              <w:rFonts w:hint="eastAsia"/>
            </w:rPr>
            <w:t>-3-</w:t>
          </w:r>
          <w:r>
            <w:rPr>
              <w:rFonts w:hint="eastAsia"/>
            </w:rPr>
            <w:fldChar w:fldCharType="end"/>
          </w:r>
        </w:p>
        <w:p>
          <w:pPr>
            <w:pStyle w:val="12"/>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"_Toc156494466" </w:instrText>
          </w:r>
          <w:r>
            <w:fldChar w:fldCharType="separate"/>
          </w:r>
          <w:r>
            <w:rPr>
              <w:rStyle w:val="15"/>
              <w:rFonts w:hint="eastAsia"/>
              <w:lang w:bidi="ar-SA"/>
            </w:rPr>
            <w:t>一、主要职能</w:t>
          </w:r>
          <w:r>
            <w:tab/>
          </w:r>
          <w:r>
            <w:rPr>
              <w:rFonts w:hint="eastAsia"/>
            </w:rPr>
            <w:t>-3-</w:t>
          </w:r>
          <w:r>
            <w:rPr>
              <w:rFonts w:hint="eastAsia"/>
            </w:rPr>
            <w:fldChar w:fldCharType="end"/>
          </w:r>
        </w:p>
        <w:p>
          <w:pPr>
            <w:pStyle w:val="12"/>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"_Toc156494467" </w:instrText>
          </w:r>
          <w:r>
            <w:fldChar w:fldCharType="separate"/>
          </w:r>
          <w:r>
            <w:rPr>
              <w:rStyle w:val="15"/>
              <w:rFonts w:hint="eastAsia"/>
              <w:lang w:bidi="ar-SA"/>
            </w:rPr>
            <w:t>二、部门（</w:t>
          </w:r>
          <w:r>
            <w:rPr>
              <w:rStyle w:val="15"/>
              <w:rFonts w:hint="eastAsia" w:hAnsi="仿宋"/>
              <w:lang w:bidi="ar-SA"/>
            </w:rPr>
            <w:t>单位</w:t>
          </w:r>
          <w:r>
            <w:rPr>
              <w:rStyle w:val="15"/>
              <w:rFonts w:hint="eastAsia"/>
              <w:lang w:bidi="ar-SA"/>
            </w:rPr>
            <w:t>）机构设置情况</w:t>
          </w:r>
          <w:r>
            <w:tab/>
          </w:r>
          <w:r>
            <w:rPr>
              <w:rFonts w:hint="eastAsia"/>
            </w:rPr>
            <w:t>-5-</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"_Toc156494468" </w:instrText>
          </w:r>
          <w:r>
            <w:fldChar w:fldCharType="separate"/>
          </w:r>
          <w:r>
            <w:rPr>
              <w:rStyle w:val="15"/>
              <w:rFonts w:hint="eastAsia"/>
              <w:lang w:bidi="ar-SA"/>
            </w:rPr>
            <w:t>第二部分</w:t>
          </w:r>
          <w:r>
            <w:rPr>
              <w:rStyle w:val="15"/>
              <w:lang w:bidi="ar-SA"/>
            </w:rPr>
            <w:t xml:space="preserve">  </w:t>
          </w:r>
          <w:r>
            <w:rPr>
              <w:rStyle w:val="15"/>
              <w:rFonts w:hint="eastAsia"/>
              <w:lang w:bidi="ar-SA"/>
            </w:rPr>
            <w:t>那曲市审计局部门（单位）预算明细表</w:t>
          </w:r>
          <w:r>
            <w:tab/>
          </w:r>
          <w:r>
            <w:rPr>
              <w:rFonts w:hint="eastAsia"/>
            </w:rPr>
            <w:t>-7-</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"_Toc156494469" </w:instrText>
          </w:r>
          <w:r>
            <w:fldChar w:fldCharType="separate"/>
          </w:r>
          <w:r>
            <w:rPr>
              <w:rStyle w:val="15"/>
              <w:rFonts w:hint="eastAsia"/>
              <w:lang w:bidi="ar-SA"/>
            </w:rPr>
            <w:t>第三部分</w:t>
          </w:r>
          <w:r>
            <w:rPr>
              <w:rStyle w:val="15"/>
              <w:lang w:bidi="ar-SA"/>
            </w:rPr>
            <w:t xml:space="preserve">  </w:t>
          </w:r>
          <w:r>
            <w:rPr>
              <w:rStyle w:val="15"/>
              <w:rFonts w:hint="eastAsia"/>
              <w:lang w:bidi="ar-SA"/>
            </w:rPr>
            <w:t>那曲市审计局部门（单位）预算数据分析</w:t>
          </w:r>
          <w:r>
            <w:tab/>
          </w:r>
          <w:r>
            <w:rPr>
              <w:rFonts w:hint="eastAsia"/>
            </w:rPr>
            <w:t>-8-</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"_Toc156494470" </w:instrText>
          </w:r>
          <w:r>
            <w:fldChar w:fldCharType="separate"/>
          </w:r>
          <w:r>
            <w:rPr>
              <w:rStyle w:val="15"/>
              <w:rFonts w:hint="eastAsia"/>
              <w:lang w:bidi="ar-SA"/>
            </w:rPr>
            <w:t>一、部门</w:t>
          </w:r>
          <w:r>
            <w:rPr>
              <w:rStyle w:val="15"/>
              <w:lang w:bidi="ar-SA"/>
            </w:rPr>
            <w:t>/</w:t>
          </w:r>
          <w:r>
            <w:rPr>
              <w:rStyle w:val="15"/>
              <w:rFonts w:hint="eastAsia"/>
              <w:lang w:bidi="ar-SA"/>
            </w:rPr>
            <w:t>单位收支总体情况</w:t>
          </w:r>
          <w:r>
            <w:tab/>
          </w:r>
          <w:r>
            <w:rPr>
              <w:rFonts w:hint="eastAsia"/>
            </w:rPr>
            <w:t>-8-</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"_Toc156494471" </w:instrText>
          </w:r>
          <w:r>
            <w:fldChar w:fldCharType="separate"/>
          </w:r>
          <w:r>
            <w:rPr>
              <w:rStyle w:val="15"/>
              <w:rFonts w:hint="eastAsia"/>
              <w:lang w:bidi="ar-SA"/>
            </w:rPr>
            <w:t>二、部门</w:t>
          </w:r>
          <w:r>
            <w:rPr>
              <w:rStyle w:val="15"/>
              <w:lang w:bidi="ar-SA"/>
            </w:rPr>
            <w:t>/</w:t>
          </w:r>
          <w:r>
            <w:rPr>
              <w:rStyle w:val="15"/>
              <w:rFonts w:hint="eastAsia"/>
              <w:lang w:bidi="ar-SA"/>
            </w:rPr>
            <w:t>单位收入总体情况</w:t>
          </w:r>
          <w:r>
            <w:tab/>
          </w:r>
          <w:r>
            <w:rPr>
              <w:rFonts w:hint="eastAsia"/>
            </w:rPr>
            <w:t>-8-</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"_Toc156494472" </w:instrText>
          </w:r>
          <w:r>
            <w:fldChar w:fldCharType="separate"/>
          </w:r>
          <w:r>
            <w:rPr>
              <w:rStyle w:val="15"/>
              <w:rFonts w:hint="eastAsia"/>
              <w:lang w:bidi="ar-SA"/>
            </w:rPr>
            <w:t>三、部门</w:t>
          </w:r>
          <w:r>
            <w:rPr>
              <w:rStyle w:val="15"/>
              <w:lang w:bidi="ar-SA"/>
            </w:rPr>
            <w:t>/</w:t>
          </w:r>
          <w:r>
            <w:rPr>
              <w:rStyle w:val="15"/>
              <w:rFonts w:hint="eastAsia"/>
              <w:lang w:bidi="ar-SA"/>
            </w:rPr>
            <w:t>单位支出总体情况</w:t>
          </w:r>
          <w:r>
            <w:tab/>
          </w:r>
          <w:r>
            <w:rPr>
              <w:rFonts w:hint="eastAsia"/>
            </w:rPr>
            <w:t>-8-</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"_Toc156494473" </w:instrText>
          </w:r>
          <w:r>
            <w:fldChar w:fldCharType="separate"/>
          </w:r>
          <w:r>
            <w:rPr>
              <w:rStyle w:val="15"/>
              <w:rFonts w:hint="eastAsia"/>
              <w:lang w:bidi="ar-SA"/>
            </w:rPr>
            <w:t>四、财政拨款收支总体情况</w:t>
          </w:r>
          <w:r>
            <w:tab/>
          </w:r>
          <w:r>
            <w:rPr>
              <w:rFonts w:hint="eastAsia"/>
            </w:rPr>
            <w:t>-9-</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"_Toc156494474" </w:instrText>
          </w:r>
          <w:r>
            <w:fldChar w:fldCharType="separate"/>
          </w:r>
          <w:r>
            <w:rPr>
              <w:rStyle w:val="15"/>
              <w:rFonts w:hint="eastAsia"/>
              <w:lang w:bidi="ar-SA"/>
            </w:rPr>
            <w:t>五、一般公共预算支出总体情况（按功能分类科目）</w:t>
          </w:r>
          <w:r>
            <w:tab/>
          </w:r>
          <w:r>
            <w:rPr>
              <w:rFonts w:hint="eastAsia"/>
            </w:rPr>
            <w:t>-9-</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"_Toc156494475" </w:instrText>
          </w:r>
          <w:r>
            <w:fldChar w:fldCharType="separate"/>
          </w:r>
          <w:r>
            <w:rPr>
              <w:rStyle w:val="15"/>
              <w:rFonts w:hint="eastAsia"/>
              <w:lang w:bidi="ar-SA"/>
            </w:rPr>
            <w:t>六、一般公共预算基本支出总体情况（按经济分类款级科目）</w:t>
          </w:r>
          <w:r>
            <w:tab/>
          </w:r>
          <w:r>
            <w:rPr>
              <w:rFonts w:hint="eastAsia"/>
            </w:rPr>
            <w:t>-12-</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"_Toc156494476" </w:instrText>
          </w:r>
          <w:r>
            <w:fldChar w:fldCharType="separate"/>
          </w:r>
          <w:r>
            <w:rPr>
              <w:rStyle w:val="15"/>
              <w:rFonts w:hint="eastAsia"/>
              <w:lang w:bidi="ar-SA"/>
            </w:rPr>
            <w:t>七、一般公共预算“三公”经费支出总体情况</w:t>
          </w:r>
          <w:r>
            <w:tab/>
          </w:r>
          <w:r>
            <w:rPr>
              <w:rFonts w:hint="eastAsia"/>
            </w:rPr>
            <w:t>-13-</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"_Toc156494477" </w:instrText>
          </w:r>
          <w:r>
            <w:fldChar w:fldCharType="separate"/>
          </w:r>
          <w:r>
            <w:rPr>
              <w:rStyle w:val="15"/>
              <w:rFonts w:hint="eastAsia"/>
              <w:lang w:bidi="ar-SA"/>
            </w:rPr>
            <w:t>八、政府性基金预算支出总体情况</w:t>
          </w:r>
          <w:r>
            <w:tab/>
          </w:r>
          <w:r>
            <w:rPr>
              <w:rFonts w:hint="eastAsia"/>
            </w:rPr>
            <w:t>-14-</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"_Toc156494478" </w:instrText>
          </w:r>
          <w:r>
            <w:fldChar w:fldCharType="separate"/>
          </w:r>
          <w:r>
            <w:rPr>
              <w:rStyle w:val="15"/>
              <w:rFonts w:hint="eastAsia"/>
              <w:lang w:bidi="ar-SA"/>
            </w:rPr>
            <w:t>九、政府性基金“三公”经费支出总体情况</w:t>
          </w:r>
          <w:r>
            <w:tab/>
          </w:r>
          <w:r>
            <w:rPr>
              <w:rFonts w:hint="eastAsia"/>
            </w:rPr>
            <w:t>-14-</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"_Toc156494479" </w:instrText>
          </w:r>
          <w:r>
            <w:fldChar w:fldCharType="separate"/>
          </w:r>
          <w:r>
            <w:rPr>
              <w:rStyle w:val="15"/>
              <w:rFonts w:hint="eastAsia"/>
              <w:lang w:bidi="ar-SA"/>
            </w:rPr>
            <w:t>十、其他重要事项情况说明</w:t>
          </w:r>
          <w:r>
            <w:tab/>
          </w:r>
          <w:r>
            <w:rPr>
              <w:rFonts w:hint="eastAsia"/>
            </w:rPr>
            <w:t>-14-</w:t>
          </w:r>
          <w:r>
            <w:rPr>
              <w:rFonts w:hint="eastAsia"/>
            </w:rPr>
            <w:fldChar w:fldCharType="end"/>
          </w:r>
        </w:p>
        <w:p>
          <w:pPr>
            <w:pStyle w:val="11"/>
            <w:pageBreakBefore w:val="0"/>
            <w:tabs>
              <w:tab w:val="right" w:leader="dot" w:pos="8296"/>
            </w:tabs>
            <w:kinsoku/>
            <w:wordWrap/>
            <w:overflowPunct/>
            <w:topLinePunct w:val="0"/>
            <w:bidi w:val="0"/>
            <w:snapToGrid/>
            <w:spacing w:line="576" w:lineRule="exact"/>
            <w:textAlignment w:val="auto"/>
            <w:rPr>
              <w:kern w:val="2"/>
              <w:sz w:val="21"/>
              <w:szCs w:val="32"/>
            </w:rPr>
          </w:pPr>
          <w:r>
            <w:fldChar w:fldCharType="begin"/>
          </w:r>
          <w:r>
            <w:instrText xml:space="preserve"> HYPERLINK \l "_Toc156494480" </w:instrText>
          </w:r>
          <w:r>
            <w:fldChar w:fldCharType="separate"/>
          </w:r>
          <w:r>
            <w:rPr>
              <w:rStyle w:val="15"/>
              <w:rFonts w:hint="eastAsia"/>
              <w:lang w:bidi="ar-SA"/>
            </w:rPr>
            <w:t>第四部分</w:t>
          </w:r>
          <w:r>
            <w:rPr>
              <w:rStyle w:val="15"/>
              <w:lang w:bidi="ar-SA"/>
            </w:rPr>
            <w:t xml:space="preserve">  </w:t>
          </w:r>
          <w:r>
            <w:rPr>
              <w:rStyle w:val="15"/>
              <w:rFonts w:hint="eastAsia"/>
              <w:lang w:bidi="ar-SA"/>
            </w:rPr>
            <w:t>名词解释</w:t>
          </w:r>
          <w:r>
            <w:tab/>
          </w:r>
          <w:r>
            <w:rPr>
              <w:rFonts w:hint="eastAsia"/>
            </w:rPr>
            <w:t>-16-</w:t>
          </w:r>
          <w:r>
            <w:rPr>
              <w:rFonts w:hint="eastAsia"/>
            </w:rPr>
            <w:fldChar w:fldCharType="end"/>
          </w:r>
        </w:p>
        <w:p>
          <w:pPr>
            <w:pageBreakBefore w:val="0"/>
            <w:kinsoku/>
            <w:wordWrap/>
            <w:overflowPunct/>
            <w:topLinePunct w:val="0"/>
            <w:bidi w:val="0"/>
            <w:snapToGrid/>
            <w:spacing w:line="576" w:lineRule="exact"/>
            <w:textAlignment w:val="auto"/>
            <w:rPr>
              <w:rFonts w:ascii="仿宋_GB2312" w:hAnsi="仿宋" w:eastAsia="仿宋_GB2312"/>
              <w:sz w:val="32"/>
              <w:szCs w:val="32"/>
            </w:rPr>
          </w:pPr>
          <w:r>
            <w:rPr>
              <w:b/>
              <w:bCs/>
              <w:lang w:val="zh-CN"/>
            </w:rPr>
            <w:fldChar w:fldCharType="end"/>
          </w:r>
        </w:p>
      </w:sdtContent>
    </w:sdt>
    <w:p>
      <w:pPr>
        <w:pageBreakBefore w:val="0"/>
        <w:kinsoku/>
        <w:wordWrap/>
        <w:overflowPunct/>
        <w:topLinePunct w:val="0"/>
        <w:bidi w:val="0"/>
        <w:snapToGrid/>
        <w:spacing w:line="576" w:lineRule="exact"/>
        <w:textAlignment w:val="auto"/>
        <w:rPr>
          <w:rFonts w:ascii="方正小标宋_GBK" w:hAnsi="仿宋" w:eastAsia="方正小标宋_GBK"/>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第一部分</w:t>
      </w: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那曲市审计局概况</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一）主管全市审计工作。负责对全市财政收支和法律法规规定属于审计监督范围的财务收支的真实、合法和效益进行审计监督，对公共资金、国有资产、国有资源和领导干部履行经济责任情况实行审计全覆盖，对领导干部实行自然资源资产离任审计，对国家及自治区、市有关重大政策措施贯彻落实情况进行跟踪审计。对审计、专项审计调查和核查社会审计机构相关审计报告的结果承担责任，并督促被审计单位整改审计查出的问题。</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（二）起草审计相关地方性法规和政府规章草案。制定审计发展规划和工作计划，参与起草财政经济相关地方性法规草案。对直接审计、调查和核查的事项依法进行审计评价，作出审计决定或提出审计建议。</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三）向市委审计委员会和自治区审计厅提出年度本级预算执行和其他财政收支情况的审计报告。向市长提出年度本级预算执行和其他财政收支情况的审计结果报告。受市政府委托向市人大常委会提出本级预算执行和其他财政收支情况的审计工作报告、审计查出问题整改情况报告。向市委、市政府报告对其他事项的审计和专项审计调查情况及结果。依法向社会公布审计结果。向市有关部门、县（区）委和县（区）政府通报审计情况和审计结果。</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四）直接审计下列事项，出具审计报告，在法定职权范围内作出审计决定，包括：国家及自治区、市有关重大政策措施贯彻落实情况。市级预算执行情况和其他财政收支、各部门（含所属单位）预算执行情况、决算草案和其他财政收支。各县（区）政府预算执行情况、决算草案和其他财政收支，财政转移支付资金。使用市财政资金的事业单位和社会团体的财务收支。市投资和以市投资为主的建设项目的预算执行情况和决算，市重大公共工程项目的资金管理使用和建设运营情况。自然资源管理、污染防治和生态保护与修复情况。市国有企业及国有资本占控股地位或者主导地位的企业和金融机构的财务收支。有关社会保障基金、社会捐赠资金及其他有关基金、资金的财务收支。法律法规规定的其他事项。</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（五）按规定对市委组织部管理的党政主要领导干部及其他单位主要负责人实施经济责任审计和自然资源资产离任审计。</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六）组织实施对国家财经法律法规、规章、政策和宏观调控措施执行情况、自治区和市级重大决策部署贯彻落实情况、财政预算管理及国有资产管理使用等与国家及自治区、市财政收支有关的特定事项进行专项审计调查。</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（七）依法检查审计决定执行情况，督促整改审计查出的问题，依法办理被审计单位对审计决定提请行政复议、行政诉讼或市政府裁决中的有关事项。协助配合有关部门查处相关重大案件。</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（八）指导和监督内部审计工作，核查社会审计机构对依法属于审计监督对象的单位出具的相关审计报告。</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九）与各县（区）委、政府共同领导各县（区）审计机关。依法领导和监督各县（区）审计机关的审计业务工作。组织各县（区）审计机关实施特定项目的专项审计或审计调查，纠正或责成纠正各县（区）审计机关违反国家规定作出的审计决定。按照干部管理权限协管各县（区）审计机关负责人。</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（十）组织开展全市审计系统的专业培训、审计科研和审计领域的交流活动，指导和推广信息技术在审计领域的应用。</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（十一）承办自治区审计厅组织的审计事项。</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（十二）完成市委、市政府交办的其他任务。</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ageBreakBefore w:val="0"/>
        <w:kinsoku/>
        <w:wordWrap/>
        <w:overflowPunct/>
        <w:topLinePunct w:val="0"/>
        <w:bidi w:val="0"/>
        <w:snapToGrid/>
        <w:spacing w:line="576"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那曲市审计局是政府工作部门，为正县级单位，属于一级预算单位，无二级单位；有</w:t>
      </w:r>
      <w:r>
        <w:rPr>
          <w:rFonts w:hint="eastAsia" w:ascii="仿宋_GB2312" w:hAnsi="ˎ̥" w:eastAsia="仿宋_GB2312"/>
          <w:sz w:val="32"/>
          <w:szCs w:val="32"/>
          <w:lang w:val="en-US" w:eastAsia="zh-CN"/>
        </w:rPr>
        <w:t>9</w:t>
      </w:r>
      <w:r>
        <w:rPr>
          <w:rFonts w:hint="eastAsia" w:ascii="仿宋_GB2312" w:hAnsi="ˎ̥" w:eastAsia="仿宋_GB2312"/>
          <w:sz w:val="32"/>
          <w:szCs w:val="32"/>
          <w:lang w:eastAsia="zh-CN"/>
        </w:rPr>
        <w:t>个职能科室组成，具体科室为：办公室、审理科（电子数据审计科）、财政审计科（行政事业审计科）、自然资源和生态环境审计科（农业农村审计科）、社会保障审计科（企业审计科）、经济责任审计科、固定资产投资审计科、财务室、审计中心。</w:t>
      </w:r>
    </w:p>
    <w:p>
      <w:pPr>
        <w:pageBreakBefore w:val="0"/>
        <w:kinsoku/>
        <w:wordWrap/>
        <w:overflowPunct/>
        <w:topLinePunct w:val="0"/>
        <w:bidi w:val="0"/>
        <w:snapToGrid/>
        <w:spacing w:line="576" w:lineRule="exact"/>
        <w:ind w:firstLine="640" w:firstLineChars="200"/>
        <w:textAlignment w:val="auto"/>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5</w:t>
      </w:r>
      <w:r>
        <w:rPr>
          <w:rFonts w:hint="eastAsia" w:ascii="仿宋_GB2312" w:hAnsi="ˎ̥" w:eastAsia="仿宋_GB2312"/>
          <w:sz w:val="32"/>
          <w:szCs w:val="32"/>
          <w:lang w:eastAsia="zh-CN"/>
        </w:rPr>
        <w:t>年单位行政编制</w:t>
      </w:r>
      <w:r>
        <w:rPr>
          <w:rFonts w:hint="eastAsia" w:ascii="仿宋_GB2312" w:hAnsi="ˎ̥" w:eastAsia="仿宋_GB2312"/>
          <w:sz w:val="32"/>
          <w:szCs w:val="32"/>
          <w:lang w:val="en-US" w:eastAsia="zh-CN"/>
        </w:rPr>
        <w:t>26人，事业编制5人。实有人数37人。</w:t>
      </w:r>
      <w:r>
        <w:rPr>
          <w:rFonts w:hint="eastAsia" w:ascii="仿宋_GB2312" w:hAnsi="ˎ̥" w:eastAsia="仿宋_GB2312"/>
          <w:sz w:val="32"/>
          <w:szCs w:val="32"/>
          <w:lang w:eastAsia="zh-CN"/>
        </w:rPr>
        <w:t>退休干部21人，公益性岗位4人（含保安1人），长期抚恤1人，财政认可车辆数4辆（越野车3辆、商务车1辆）。</w:t>
      </w: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第二部分</w:t>
      </w: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那曲市审计局202</w:t>
      </w:r>
      <w:r>
        <w:rPr>
          <w:rFonts w:hint="eastAsia" w:ascii="方正小标宋_GBK" w:hAnsi="仿宋" w:eastAsia="方正小标宋_GBK"/>
          <w:sz w:val="32"/>
          <w:szCs w:val="32"/>
          <w:lang w:val="en-US" w:eastAsia="zh-CN"/>
        </w:rPr>
        <w:t>5</w:t>
      </w:r>
      <w:r>
        <w:rPr>
          <w:rFonts w:hint="eastAsia" w:ascii="方正小标宋_GBK" w:hAnsi="仿宋" w:eastAsia="方正小标宋_GBK"/>
          <w:sz w:val="32"/>
          <w:szCs w:val="32"/>
        </w:rPr>
        <w:t>年度预算明细表</w:t>
      </w: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（表格详见附件）</w:t>
      </w: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jc w:val="center"/>
        <w:textAlignment w:val="auto"/>
        <w:rPr>
          <w:rFonts w:ascii="黑体" w:hAnsi="黑体" w:eastAsia="黑体"/>
          <w:sz w:val="32"/>
          <w:szCs w:val="32"/>
        </w:rPr>
      </w:pPr>
    </w:p>
    <w:p>
      <w:pPr>
        <w:pStyle w:val="2"/>
        <w:rPr>
          <w:rFonts w:ascii="黑体" w:hAnsi="黑体" w:eastAsia="黑体"/>
          <w:sz w:val="32"/>
          <w:szCs w:val="32"/>
        </w:rPr>
      </w:pPr>
    </w:p>
    <w:p/>
    <w:p>
      <w:pPr>
        <w:pageBreakBefore w:val="0"/>
        <w:kinsoku/>
        <w:wordWrap/>
        <w:overflowPunct/>
        <w:topLinePunct w:val="0"/>
        <w:bidi w:val="0"/>
        <w:snapToGrid/>
        <w:spacing w:line="576" w:lineRule="exact"/>
        <w:jc w:val="center"/>
        <w:textAlignment w:val="auto"/>
        <w:rPr>
          <w:rFonts w:ascii="方正小标宋_GBK" w:hAnsi="黑体" w:eastAsia="方正小标宋_GBK"/>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第三部分</w:t>
      </w: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那曲市审计局202</w:t>
      </w:r>
      <w:r>
        <w:rPr>
          <w:rFonts w:hint="eastAsia" w:ascii="方正小标宋_GBK" w:hAnsi="仿宋" w:eastAsia="方正小标宋_GBK"/>
          <w:sz w:val="32"/>
          <w:szCs w:val="32"/>
          <w:lang w:val="en-US" w:eastAsia="zh-CN"/>
        </w:rPr>
        <w:t>5</w:t>
      </w:r>
      <w:r>
        <w:rPr>
          <w:rFonts w:hint="eastAsia" w:ascii="方正小标宋_GBK" w:hAnsi="仿宋" w:eastAsia="方正小标宋_GBK"/>
          <w:sz w:val="32"/>
          <w:szCs w:val="32"/>
        </w:rPr>
        <w:t>年度部门预算数据分析</w:t>
      </w:r>
    </w:p>
    <w:p>
      <w:pPr>
        <w:pageBreakBefore w:val="0"/>
        <w:kinsoku/>
        <w:wordWrap/>
        <w:overflowPunct/>
        <w:topLinePunct w:val="0"/>
        <w:bidi w:val="0"/>
        <w:snapToGrid/>
        <w:spacing w:line="576" w:lineRule="exact"/>
        <w:jc w:val="center"/>
        <w:textAlignment w:val="auto"/>
        <w:rPr>
          <w:rFonts w:ascii="黑体" w:hAnsi="黑体" w:eastAsia="黑体"/>
          <w:sz w:val="32"/>
          <w:szCs w:val="32"/>
        </w:rPr>
      </w:pP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一、部门（单位）收支总体情况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1839.13</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二、部门（单位）收入总体情况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1839.13</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115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年政府购买服务项目经费较上年有较大变化，因而收入减少。其中：上年结转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16.46</w:t>
      </w:r>
      <w:r>
        <w:rPr>
          <w:rFonts w:hint="eastAsia" w:ascii="仿宋" w:hAnsi="仿宋" w:eastAsia="仿宋"/>
          <w:sz w:val="32"/>
          <w:szCs w:val="32"/>
        </w:rPr>
        <w:t>万元，占</w:t>
      </w:r>
      <w:r>
        <w:rPr>
          <w:rFonts w:hint="eastAsia" w:ascii="仿宋" w:hAnsi="仿宋" w:eastAsia="仿宋"/>
          <w:sz w:val="32"/>
          <w:szCs w:val="32"/>
          <w:u w:val="single"/>
          <w:lang w:val="en-US" w:eastAsia="zh-CN"/>
        </w:rPr>
        <w:t>0.89</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1822.66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99.1</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三、部门（单位）支出总体情况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1839.13</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年项目经费较202</w:t>
      </w:r>
      <w:r>
        <w:rPr>
          <w:rFonts w:hint="eastAsia" w:ascii="仿宋" w:hAnsi="仿宋" w:eastAsia="仿宋"/>
          <w:sz w:val="32"/>
          <w:szCs w:val="32"/>
          <w:lang w:val="en-US" w:eastAsia="zh-CN"/>
        </w:rPr>
        <w:t>4</w:t>
      </w:r>
      <w:r>
        <w:rPr>
          <w:rFonts w:hint="eastAsia" w:ascii="仿宋" w:hAnsi="仿宋" w:eastAsia="仿宋"/>
          <w:sz w:val="32"/>
          <w:szCs w:val="32"/>
        </w:rPr>
        <w:t>年年初预算数少</w:t>
      </w:r>
      <w:r>
        <w:rPr>
          <w:rFonts w:hint="eastAsia" w:ascii="仿宋" w:hAnsi="仿宋" w:eastAsia="仿宋"/>
          <w:sz w:val="32"/>
          <w:szCs w:val="32"/>
          <w:lang w:val="en-US" w:eastAsia="zh-CN"/>
        </w:rPr>
        <w:t>396.55</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1645</w:t>
      </w:r>
      <w:r>
        <w:rPr>
          <w:rFonts w:hint="eastAsia" w:ascii="仿宋" w:hAnsi="仿宋" w:eastAsia="仿宋"/>
          <w:sz w:val="32"/>
          <w:szCs w:val="32"/>
        </w:rPr>
        <w:t>万元，占</w:t>
      </w:r>
      <w:r>
        <w:rPr>
          <w:rFonts w:hint="eastAsia" w:ascii="仿宋" w:hAnsi="仿宋" w:eastAsia="仿宋"/>
          <w:sz w:val="32"/>
          <w:szCs w:val="32"/>
          <w:u w:val="single"/>
          <w:lang w:val="en-US" w:eastAsia="zh-CN"/>
        </w:rPr>
        <w:t>89.44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194.12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5.54</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1839.13</w:t>
      </w:r>
      <w:r>
        <w:rPr>
          <w:rFonts w:hint="eastAsia" w:ascii="仿宋" w:hAnsi="仿宋" w:eastAsia="仿宋"/>
          <w:sz w:val="32"/>
          <w:szCs w:val="32"/>
        </w:rPr>
        <w:t>万元，同比减少</w:t>
      </w:r>
      <w:r>
        <w:rPr>
          <w:rFonts w:hint="eastAsia" w:ascii="仿宋" w:hAnsi="仿宋" w:eastAsia="仿宋"/>
          <w:sz w:val="32"/>
          <w:szCs w:val="32"/>
          <w:u w:val="single"/>
          <w:lang w:val="en-US" w:eastAsia="zh-CN"/>
        </w:rPr>
        <w:t>115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年政府购买服务项目经费较上年有较大变化，因而收入减少。收入包括：一般公共预算当年拨款收入</w:t>
      </w:r>
      <w:r>
        <w:rPr>
          <w:rFonts w:hint="eastAsia" w:ascii="仿宋" w:hAnsi="仿宋" w:eastAsia="仿宋"/>
          <w:sz w:val="32"/>
          <w:szCs w:val="32"/>
          <w:u w:val="single"/>
          <w:lang w:val="en-US" w:eastAsia="zh-CN"/>
        </w:rPr>
        <w:t>1822.66</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0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0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16.46</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1467.93</w:t>
      </w:r>
      <w:r>
        <w:rPr>
          <w:rFonts w:hint="eastAsia" w:ascii="仿宋" w:hAnsi="仿宋" w:eastAsia="仿宋"/>
          <w:sz w:val="32"/>
          <w:szCs w:val="32"/>
        </w:rPr>
        <w:t>万元、外交支出</w:t>
      </w:r>
      <w:r>
        <w:rPr>
          <w:rFonts w:hint="eastAsia" w:ascii="仿宋" w:hAnsi="仿宋" w:eastAsia="仿宋"/>
          <w:sz w:val="32"/>
          <w:szCs w:val="32"/>
          <w:u w:val="single"/>
        </w:rPr>
        <w:t xml:space="preserve"> 0 </w:t>
      </w:r>
      <w:r>
        <w:rPr>
          <w:rFonts w:hint="eastAsia" w:ascii="仿宋" w:hAnsi="仿宋" w:eastAsia="仿宋"/>
          <w:sz w:val="32"/>
          <w:szCs w:val="32"/>
        </w:rPr>
        <w:t>万元、教育支出</w:t>
      </w:r>
      <w:r>
        <w:rPr>
          <w:rFonts w:hint="eastAsia" w:ascii="仿宋" w:hAnsi="仿宋" w:eastAsia="仿宋"/>
          <w:sz w:val="32"/>
          <w:szCs w:val="32"/>
          <w:u w:val="single"/>
        </w:rPr>
        <w:t xml:space="preserve"> 0 </w:t>
      </w:r>
      <w:r>
        <w:rPr>
          <w:rFonts w:hint="eastAsia" w:ascii="仿宋" w:hAnsi="仿宋" w:eastAsia="仿宋"/>
          <w:sz w:val="32"/>
          <w:szCs w:val="32"/>
        </w:rPr>
        <w:t>万元、科学技术支出</w:t>
      </w:r>
      <w:r>
        <w:rPr>
          <w:rFonts w:hint="eastAsia" w:ascii="仿宋" w:hAnsi="仿宋" w:eastAsia="仿宋"/>
          <w:sz w:val="32"/>
          <w:szCs w:val="32"/>
          <w:u w:val="single"/>
        </w:rPr>
        <w:t xml:space="preserve"> 0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0  </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170.09</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107.8</w:t>
      </w:r>
      <w:r>
        <w:rPr>
          <w:rFonts w:hint="eastAsia" w:ascii="仿宋" w:hAnsi="仿宋" w:eastAsia="仿宋"/>
          <w:sz w:val="32"/>
          <w:szCs w:val="32"/>
          <w:u w:val="single"/>
        </w:rPr>
        <w:t xml:space="preserve"> </w:t>
      </w:r>
      <w:r>
        <w:rPr>
          <w:rFonts w:hint="eastAsia" w:ascii="仿宋" w:hAnsi="仿宋" w:eastAsia="仿宋"/>
          <w:sz w:val="32"/>
          <w:szCs w:val="32"/>
        </w:rPr>
        <w:t>万元。</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pPr>
        <w:pageBreakBefore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1839.13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w:t>
      </w:r>
      <w:r>
        <w:rPr>
          <w:rFonts w:hint="eastAsia" w:ascii="仿宋" w:hAnsi="仿宋" w:eastAsia="仿宋"/>
          <w:sz w:val="32"/>
          <w:szCs w:val="32"/>
        </w:rPr>
        <w:t>万元，主要原因</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年项目经费较202</w:t>
      </w:r>
      <w:r>
        <w:rPr>
          <w:rFonts w:hint="eastAsia" w:ascii="仿宋" w:hAnsi="仿宋" w:eastAsia="仿宋"/>
          <w:sz w:val="32"/>
          <w:szCs w:val="32"/>
          <w:lang w:val="en-US" w:eastAsia="zh-CN"/>
        </w:rPr>
        <w:t>4</w:t>
      </w:r>
      <w:r>
        <w:rPr>
          <w:rFonts w:hint="eastAsia" w:ascii="仿宋" w:hAnsi="仿宋" w:eastAsia="仿宋"/>
          <w:sz w:val="32"/>
          <w:szCs w:val="32"/>
        </w:rPr>
        <w:t>年年初预算数少</w:t>
      </w:r>
      <w:r>
        <w:rPr>
          <w:rFonts w:hint="eastAsia" w:ascii="仿宋" w:hAnsi="仿宋" w:eastAsia="仿宋"/>
          <w:sz w:val="32"/>
          <w:szCs w:val="32"/>
          <w:u w:val="single"/>
          <w:lang w:val="en-US" w:eastAsia="zh-CN"/>
        </w:rPr>
        <w:t>396.55</w:t>
      </w:r>
      <w:r>
        <w:rPr>
          <w:rFonts w:hint="eastAsia" w:ascii="仿宋" w:hAnsi="仿宋" w:eastAsia="仿宋"/>
          <w:sz w:val="32"/>
          <w:szCs w:val="32"/>
        </w:rPr>
        <w:t>万元。</w:t>
      </w:r>
    </w:p>
    <w:p>
      <w:pPr>
        <w:pageBreakBefore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1839.13</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1467.93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79.82</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170.09</w:t>
      </w:r>
      <w:r>
        <w:rPr>
          <w:rFonts w:hint="eastAsia" w:ascii="仿宋" w:hAnsi="仿宋" w:eastAsia="仿宋"/>
          <w:sz w:val="32"/>
          <w:szCs w:val="32"/>
        </w:rPr>
        <w:t>万元，占</w:t>
      </w:r>
      <w:r>
        <w:rPr>
          <w:rFonts w:hint="eastAsia" w:ascii="仿宋" w:hAnsi="仿宋" w:eastAsia="仿宋"/>
          <w:sz w:val="32"/>
          <w:szCs w:val="32"/>
          <w:u w:val="single"/>
          <w:lang w:val="en-US" w:eastAsia="zh-CN"/>
        </w:rPr>
        <w:t>9.24</w:t>
      </w:r>
      <w:r>
        <w:rPr>
          <w:rFonts w:hint="eastAsia" w:ascii="仿宋" w:hAnsi="仿宋" w:eastAsia="仿宋"/>
          <w:sz w:val="32"/>
          <w:szCs w:val="32"/>
        </w:rPr>
        <w:t xml:space="preserve">%；卫生健康支出 </w:t>
      </w:r>
      <w:r>
        <w:rPr>
          <w:rFonts w:hint="eastAsia" w:ascii="仿宋" w:hAnsi="仿宋" w:eastAsia="仿宋"/>
          <w:sz w:val="32"/>
          <w:szCs w:val="32"/>
          <w:u w:val="single"/>
          <w:lang w:val="en-US" w:eastAsia="zh-CN"/>
        </w:rPr>
        <w:t>93.3</w:t>
      </w:r>
      <w:r>
        <w:rPr>
          <w:rFonts w:hint="eastAsia" w:ascii="仿宋" w:hAnsi="仿宋" w:eastAsia="仿宋"/>
          <w:sz w:val="32"/>
          <w:szCs w:val="32"/>
        </w:rPr>
        <w:t>万元，占</w:t>
      </w:r>
      <w:r>
        <w:rPr>
          <w:rFonts w:hint="eastAsia" w:ascii="仿宋" w:hAnsi="仿宋" w:eastAsia="仿宋"/>
          <w:sz w:val="32"/>
          <w:szCs w:val="32"/>
          <w:u w:val="single"/>
          <w:lang w:val="en-US" w:eastAsia="zh-CN"/>
        </w:rPr>
        <w:t>5.07</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107.8</w:t>
      </w:r>
      <w:r>
        <w:rPr>
          <w:rFonts w:hint="eastAsia" w:ascii="仿宋" w:hAnsi="仿宋" w:eastAsia="仿宋"/>
          <w:sz w:val="32"/>
          <w:szCs w:val="32"/>
        </w:rPr>
        <w:t>万元，占</w:t>
      </w:r>
      <w:r>
        <w:rPr>
          <w:rFonts w:hint="eastAsia" w:ascii="仿宋" w:hAnsi="仿宋" w:eastAsia="仿宋"/>
          <w:sz w:val="32"/>
          <w:szCs w:val="32"/>
          <w:u w:val="single"/>
          <w:lang w:val="en-US" w:eastAsia="zh-CN"/>
        </w:rPr>
        <w:t>5.86</w:t>
      </w:r>
      <w:r>
        <w:rPr>
          <w:rFonts w:hint="eastAsia" w:ascii="仿宋" w:hAnsi="仿宋" w:eastAsia="仿宋"/>
          <w:sz w:val="32"/>
          <w:szCs w:val="32"/>
        </w:rPr>
        <w:t>%。</w:t>
      </w:r>
      <w:r>
        <w:rPr>
          <w:rFonts w:ascii="仿宋" w:hAnsi="仿宋" w:eastAsia="仿宋"/>
          <w:sz w:val="32"/>
          <w:szCs w:val="32"/>
        </w:rPr>
        <w:t xml:space="preserve"> </w:t>
      </w:r>
    </w:p>
    <w:p>
      <w:pPr>
        <w:pageBreakBefore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1267.54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226.53</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17.87</w:t>
      </w:r>
      <w:r>
        <w:rPr>
          <w:rFonts w:hint="eastAsia" w:ascii="仿宋" w:hAnsi="仿宋" w:eastAsia="仿宋"/>
          <w:sz w:val="32"/>
          <w:szCs w:val="32"/>
        </w:rPr>
        <w:t>%。主要是202</w:t>
      </w:r>
      <w:r>
        <w:rPr>
          <w:rFonts w:hint="eastAsia" w:ascii="仿宋" w:hAnsi="仿宋" w:eastAsia="仿宋"/>
          <w:sz w:val="32"/>
          <w:szCs w:val="32"/>
          <w:lang w:val="en-US" w:eastAsia="zh-CN"/>
        </w:rPr>
        <w:t>4</w:t>
      </w:r>
      <w:r>
        <w:rPr>
          <w:rFonts w:hint="eastAsia" w:ascii="仿宋" w:hAnsi="仿宋" w:eastAsia="仿宋"/>
          <w:sz w:val="32"/>
          <w:szCs w:val="32"/>
          <w:lang w:eastAsia="zh-CN"/>
        </w:rPr>
        <w:t>新增的干部职工计入</w:t>
      </w:r>
      <w:r>
        <w:rPr>
          <w:rFonts w:hint="eastAsia" w:ascii="仿宋" w:hAnsi="仿宋" w:eastAsia="仿宋"/>
          <w:sz w:val="32"/>
          <w:szCs w:val="32"/>
          <w:lang w:val="en-US" w:eastAsia="zh-CN"/>
        </w:rPr>
        <w:t>2025年预算</w:t>
      </w:r>
      <w:r>
        <w:rPr>
          <w:rFonts w:hint="eastAsia" w:ascii="仿宋" w:hAnsi="仿宋" w:eastAsia="仿宋"/>
          <w:sz w:val="32"/>
          <w:szCs w:val="32"/>
        </w:rPr>
        <w:t>，致基本支出有所</w:t>
      </w:r>
      <w:r>
        <w:rPr>
          <w:rFonts w:hint="eastAsia" w:ascii="仿宋" w:hAnsi="仿宋" w:eastAsia="仿宋"/>
          <w:sz w:val="32"/>
          <w:szCs w:val="32"/>
          <w:lang w:eastAsia="zh-CN"/>
        </w:rPr>
        <w:t>增幅</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2.一般公共服务支出（类）财政事务（款）财政委托业务支出（项）、财政事务（款）其他财政事务支出（项）预算数为</w:t>
      </w:r>
      <w:r>
        <w:rPr>
          <w:rFonts w:hint="eastAsia" w:ascii="仿宋" w:hAnsi="仿宋" w:eastAsia="仿宋"/>
          <w:sz w:val="32"/>
          <w:szCs w:val="32"/>
          <w:u w:val="single"/>
          <w:lang w:val="en-US" w:eastAsia="zh-CN"/>
        </w:rPr>
        <w:t>180.01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w:t>
      </w:r>
      <w:r>
        <w:rPr>
          <w:rFonts w:hint="eastAsia" w:ascii="仿宋" w:hAnsi="仿宋" w:eastAsia="仿宋"/>
          <w:sz w:val="32"/>
          <w:szCs w:val="32"/>
          <w:u w:val="single"/>
          <w:lang w:val="en-US" w:eastAsia="zh-CN"/>
        </w:rPr>
        <w:t>62.76</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25.85</w:t>
      </w:r>
      <w:r>
        <w:rPr>
          <w:rFonts w:hint="eastAsia" w:ascii="仿宋" w:hAnsi="仿宋" w:eastAsia="仿宋"/>
          <w:sz w:val="32"/>
          <w:szCs w:val="32"/>
        </w:rPr>
        <w:t>%。主要是202</w:t>
      </w:r>
      <w:r>
        <w:rPr>
          <w:rFonts w:hint="eastAsia" w:ascii="仿宋" w:hAnsi="仿宋" w:eastAsia="仿宋"/>
          <w:sz w:val="32"/>
          <w:szCs w:val="32"/>
          <w:lang w:val="en-US" w:eastAsia="zh-CN"/>
        </w:rPr>
        <w:t>5</w:t>
      </w:r>
      <w:r>
        <w:rPr>
          <w:rFonts w:hint="eastAsia" w:ascii="仿宋" w:hAnsi="仿宋" w:eastAsia="仿宋"/>
          <w:sz w:val="32"/>
          <w:szCs w:val="32"/>
        </w:rPr>
        <w:t>年政府购买服务经费项目减少；</w:t>
      </w:r>
      <w:r>
        <w:rPr>
          <w:rFonts w:ascii="仿宋" w:hAnsi="仿宋" w:eastAsia="仿宋"/>
          <w:sz w:val="32"/>
          <w:szCs w:val="32"/>
        </w:rPr>
        <w:t xml:space="preserve"> </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3.一般公共服务支出（类）组织事务（款）其他组织事务支出（项）预算数为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20.38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13.37</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65.6</w:t>
      </w:r>
      <w:r>
        <w:rPr>
          <w:rFonts w:hint="eastAsia" w:ascii="仿宋" w:hAnsi="仿宋" w:eastAsia="仿宋"/>
          <w:sz w:val="32"/>
          <w:szCs w:val="32"/>
        </w:rPr>
        <w:t>%。主要是202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创建党建品牌等工作举措</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5.社会保障和就业支出（类）行政事业单位养老支出（款）行政单位离退休（项）预算数为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w:t>
      </w:r>
      <w:r>
        <w:rPr>
          <w:rFonts w:hint="eastAsia" w:ascii="仿宋" w:hAnsi="仿宋" w:eastAsia="仿宋"/>
          <w:sz w:val="32"/>
          <w:szCs w:val="32"/>
          <w:u w:val="single"/>
          <w:lang w:val="en-US" w:eastAsia="zh-CN"/>
        </w:rPr>
        <w:t>0.92</w:t>
      </w:r>
      <w:r>
        <w:rPr>
          <w:rFonts w:hint="eastAsia" w:ascii="仿宋" w:hAnsi="仿宋" w:eastAsia="仿宋"/>
          <w:sz w:val="32"/>
          <w:szCs w:val="32"/>
        </w:rPr>
        <w:t>万元，下降</w:t>
      </w:r>
      <w:r>
        <w:rPr>
          <w:rFonts w:hint="eastAsia" w:ascii="仿宋" w:hAnsi="仿宋" w:eastAsia="仿宋"/>
          <w:sz w:val="32"/>
          <w:szCs w:val="32"/>
          <w:u w:val="single"/>
          <w:lang w:val="en-US" w:eastAsia="zh-CN"/>
        </w:rPr>
        <w:t>17.39</w:t>
      </w:r>
      <w:r>
        <w:rPr>
          <w:rFonts w:hint="eastAsia" w:ascii="仿宋" w:hAnsi="仿宋" w:eastAsia="仿宋"/>
          <w:sz w:val="32"/>
          <w:szCs w:val="32"/>
        </w:rPr>
        <w:t>%。主要是2024年我单位退休人员</w:t>
      </w:r>
      <w:r>
        <w:rPr>
          <w:rFonts w:hint="eastAsia" w:ascii="仿宋" w:hAnsi="仿宋" w:eastAsia="仿宋"/>
          <w:sz w:val="32"/>
          <w:szCs w:val="32"/>
          <w:lang w:eastAsia="zh-CN"/>
        </w:rPr>
        <w:t>有</w:t>
      </w:r>
      <w:r>
        <w:rPr>
          <w:rFonts w:hint="eastAsia" w:ascii="仿宋" w:hAnsi="仿宋" w:eastAsia="仿宋"/>
          <w:sz w:val="32"/>
          <w:szCs w:val="32"/>
          <w:lang w:val="en-US" w:eastAsia="zh-CN"/>
        </w:rPr>
        <w:t>3</w:t>
      </w:r>
      <w:r>
        <w:rPr>
          <w:rFonts w:hint="eastAsia" w:ascii="仿宋" w:hAnsi="仿宋" w:eastAsia="仿宋"/>
          <w:sz w:val="32"/>
          <w:szCs w:val="32"/>
        </w:rPr>
        <w:t>人</w:t>
      </w:r>
      <w:r>
        <w:rPr>
          <w:rFonts w:hint="eastAsia" w:ascii="仿宋" w:hAnsi="仿宋" w:eastAsia="仿宋"/>
          <w:sz w:val="32"/>
          <w:szCs w:val="32"/>
          <w:lang w:eastAsia="zh-CN"/>
        </w:rPr>
        <w:t>工资发放地变更</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6.社会保障和就业支出（类）行政事业单位养老支出（款）机关事业单位基本养老保险缴费支出（项）预算数为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141.64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20.39</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lang w:val="en-US" w:eastAsia="zh-CN"/>
        </w:rPr>
        <w:t>14.4</w:t>
      </w:r>
      <w:r>
        <w:rPr>
          <w:rFonts w:hint="eastAsia" w:ascii="仿宋" w:hAnsi="仿宋" w:eastAsia="仿宋"/>
          <w:sz w:val="32"/>
          <w:szCs w:val="32"/>
          <w:u w:val="single"/>
        </w:rPr>
        <w:t xml:space="preserve"> </w:t>
      </w:r>
      <w:r>
        <w:rPr>
          <w:rFonts w:hint="eastAsia" w:ascii="仿宋" w:hAnsi="仿宋" w:eastAsia="仿宋"/>
          <w:sz w:val="32"/>
          <w:szCs w:val="32"/>
        </w:rPr>
        <w:t>%。主要是202</w:t>
      </w:r>
      <w:r>
        <w:rPr>
          <w:rFonts w:hint="eastAsia" w:ascii="仿宋" w:hAnsi="仿宋" w:eastAsia="仿宋"/>
          <w:sz w:val="32"/>
          <w:szCs w:val="32"/>
          <w:lang w:val="en-US" w:eastAsia="zh-CN"/>
        </w:rPr>
        <w:t>5</w:t>
      </w:r>
      <w:r>
        <w:rPr>
          <w:rFonts w:hint="eastAsia" w:ascii="仿宋" w:hAnsi="仿宋" w:eastAsia="仿宋"/>
          <w:sz w:val="32"/>
          <w:szCs w:val="32"/>
        </w:rPr>
        <w:t>年预算在职人员</w:t>
      </w:r>
      <w:r>
        <w:rPr>
          <w:rFonts w:hint="eastAsia" w:ascii="仿宋" w:hAnsi="仿宋" w:eastAsia="仿宋"/>
          <w:sz w:val="32"/>
          <w:szCs w:val="32"/>
          <w:lang w:eastAsia="zh-CN"/>
        </w:rPr>
        <w:t>增加</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7.社会保障和就业支出（类）就业补助（款）公益性岗位补贴（项）预算数为</w:t>
      </w:r>
      <w:r>
        <w:rPr>
          <w:rFonts w:hint="eastAsia" w:ascii="仿宋" w:hAnsi="仿宋" w:eastAsia="仿宋"/>
          <w:sz w:val="32"/>
          <w:szCs w:val="32"/>
          <w:u w:val="single"/>
          <w:lang w:val="en-US" w:eastAsia="zh-CN"/>
        </w:rPr>
        <w:t>22.94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0.84</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lang w:val="en-US" w:eastAsia="zh-CN"/>
        </w:rPr>
        <w:t>3.66</w:t>
      </w:r>
      <w:r>
        <w:rPr>
          <w:rFonts w:hint="eastAsia" w:ascii="仿宋" w:hAnsi="仿宋" w:eastAsia="仿宋"/>
          <w:sz w:val="32"/>
          <w:szCs w:val="32"/>
          <w:u w:val="single"/>
        </w:rPr>
        <w:t xml:space="preserve"> </w:t>
      </w:r>
      <w:r>
        <w:rPr>
          <w:rFonts w:hint="eastAsia" w:ascii="仿宋" w:hAnsi="仿宋" w:eastAsia="仿宋"/>
          <w:sz w:val="32"/>
          <w:szCs w:val="32"/>
        </w:rPr>
        <w:t>%。主要是202</w:t>
      </w:r>
      <w:r>
        <w:rPr>
          <w:rFonts w:hint="eastAsia" w:ascii="仿宋" w:hAnsi="仿宋" w:eastAsia="仿宋"/>
          <w:sz w:val="32"/>
          <w:szCs w:val="32"/>
          <w:lang w:val="en-US" w:eastAsia="zh-CN"/>
        </w:rPr>
        <w:t>5</w:t>
      </w:r>
      <w:r>
        <w:rPr>
          <w:rFonts w:hint="eastAsia" w:ascii="仿宋" w:hAnsi="仿宋" w:eastAsia="仿宋"/>
          <w:sz w:val="32"/>
          <w:szCs w:val="32"/>
        </w:rPr>
        <w:t>年公益性岗位月福利保障标准有所增长。</w:t>
      </w:r>
    </w:p>
    <w:p>
      <w:pPr>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8.社会保障和就业支出（类）抚恤（款）死亡抚恤（项）预算数为</w:t>
      </w:r>
      <w:r>
        <w:rPr>
          <w:rFonts w:hint="eastAsia" w:ascii="仿宋" w:hAnsi="仿宋" w:eastAsia="仿宋"/>
          <w:sz w:val="32"/>
          <w:szCs w:val="32"/>
          <w:u w:val="single"/>
        </w:rPr>
        <w:t>1.1</w:t>
      </w:r>
      <w:r>
        <w:rPr>
          <w:rFonts w:hint="eastAsia" w:ascii="仿宋" w:hAnsi="仿宋" w:eastAsia="仿宋"/>
          <w:sz w:val="32"/>
          <w:szCs w:val="32"/>
          <w:u w:val="single"/>
          <w:lang w:val="en-US" w:eastAsia="zh-CN"/>
        </w:rPr>
        <w:t>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u w:val="single"/>
        </w:rPr>
        <w:t xml:space="preserve"> 1.12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0.02</w:t>
      </w:r>
      <w:r>
        <w:rPr>
          <w:rFonts w:hint="eastAsia" w:ascii="仿宋" w:hAnsi="仿宋" w:eastAsia="仿宋"/>
          <w:sz w:val="32"/>
          <w:szCs w:val="32"/>
        </w:rPr>
        <w:t>万元。</w:t>
      </w:r>
    </w:p>
    <w:p>
      <w:pPr>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9.卫生健康支出（类）行政事业单位医疗（款）行政单位医疗（项）预算数为</w:t>
      </w:r>
      <w:r>
        <w:rPr>
          <w:rFonts w:hint="eastAsia" w:ascii="仿宋" w:hAnsi="仿宋" w:eastAsia="仿宋"/>
          <w:sz w:val="32"/>
          <w:szCs w:val="32"/>
          <w:u w:val="single"/>
          <w:lang w:val="en-US" w:eastAsia="zh-CN"/>
        </w:rPr>
        <w:t>69.17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9.92</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lang w:val="en-US" w:eastAsia="zh-CN"/>
        </w:rPr>
        <w:t>16.74</w:t>
      </w:r>
      <w:r>
        <w:rPr>
          <w:rFonts w:hint="eastAsia" w:ascii="仿宋" w:hAnsi="仿宋" w:eastAsia="仿宋"/>
          <w:sz w:val="32"/>
          <w:szCs w:val="32"/>
        </w:rPr>
        <w:t>%。主要是202</w:t>
      </w:r>
      <w:r>
        <w:rPr>
          <w:rFonts w:hint="eastAsia" w:ascii="仿宋" w:hAnsi="仿宋" w:eastAsia="仿宋"/>
          <w:sz w:val="32"/>
          <w:szCs w:val="32"/>
          <w:lang w:val="en-US" w:eastAsia="zh-CN"/>
        </w:rPr>
        <w:t>5</w:t>
      </w:r>
      <w:r>
        <w:rPr>
          <w:rFonts w:hint="eastAsia" w:ascii="仿宋" w:hAnsi="仿宋" w:eastAsia="仿宋"/>
          <w:sz w:val="32"/>
          <w:szCs w:val="32"/>
        </w:rPr>
        <w:t>年预算在职人员</w:t>
      </w:r>
      <w:r>
        <w:rPr>
          <w:rFonts w:hint="eastAsia" w:ascii="仿宋" w:hAnsi="仿宋" w:eastAsia="仿宋"/>
          <w:sz w:val="32"/>
          <w:szCs w:val="32"/>
          <w:lang w:eastAsia="zh-CN"/>
        </w:rPr>
        <w:t>增加。</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10.卫生健康支出（类）行政事业单位医疗（款）公务员医疗补助（项）预算数为</w:t>
      </w:r>
      <w:r>
        <w:rPr>
          <w:rFonts w:hint="eastAsia" w:ascii="仿宋" w:hAnsi="仿宋" w:eastAsia="仿宋"/>
          <w:sz w:val="32"/>
          <w:szCs w:val="32"/>
          <w:u w:val="single"/>
          <w:lang w:val="en-US" w:eastAsia="zh-CN"/>
        </w:rPr>
        <w:t>16.14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2.18</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lang w:val="en-US" w:eastAsia="zh-CN"/>
        </w:rPr>
        <w:t>15.62</w:t>
      </w:r>
      <w:r>
        <w:rPr>
          <w:rFonts w:hint="eastAsia" w:ascii="仿宋" w:hAnsi="仿宋" w:eastAsia="仿宋"/>
          <w:sz w:val="32"/>
          <w:szCs w:val="32"/>
          <w:u w:val="single"/>
        </w:rPr>
        <w:t xml:space="preserve"> </w:t>
      </w:r>
      <w:r>
        <w:rPr>
          <w:rFonts w:hint="eastAsia" w:ascii="仿宋" w:hAnsi="仿宋" w:eastAsia="仿宋"/>
          <w:sz w:val="32"/>
          <w:szCs w:val="32"/>
        </w:rPr>
        <w:t>%。主要是202</w:t>
      </w:r>
      <w:r>
        <w:rPr>
          <w:rFonts w:hint="eastAsia" w:ascii="仿宋" w:hAnsi="仿宋" w:eastAsia="仿宋"/>
          <w:sz w:val="32"/>
          <w:szCs w:val="32"/>
          <w:lang w:val="en-US" w:eastAsia="zh-CN"/>
        </w:rPr>
        <w:t>5</w:t>
      </w:r>
      <w:r>
        <w:rPr>
          <w:rFonts w:hint="eastAsia" w:ascii="仿宋" w:hAnsi="仿宋" w:eastAsia="仿宋"/>
          <w:sz w:val="32"/>
          <w:szCs w:val="32"/>
        </w:rPr>
        <w:t>年预算在职人员</w:t>
      </w:r>
      <w:r>
        <w:rPr>
          <w:rFonts w:hint="eastAsia" w:ascii="仿宋" w:hAnsi="仿宋" w:eastAsia="仿宋"/>
          <w:sz w:val="32"/>
          <w:szCs w:val="32"/>
          <w:lang w:eastAsia="zh-CN"/>
        </w:rPr>
        <w:t>增加</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11.卫生健康支出（类）行政事业单位医疗（款）其他行政事业单位医疗支出（项）预算数为</w:t>
      </w:r>
      <w:r>
        <w:rPr>
          <w:rFonts w:hint="eastAsia" w:ascii="仿宋" w:hAnsi="仿宋" w:eastAsia="仿宋" w:cs="Times New Roman"/>
          <w:sz w:val="32"/>
          <w:szCs w:val="32"/>
          <w:u w:val="single"/>
        </w:rPr>
        <w:t>7.</w:t>
      </w:r>
      <w:r>
        <w:rPr>
          <w:rFonts w:hint="eastAsia" w:ascii="仿宋" w:hAnsi="仿宋" w:eastAsia="仿宋" w:cs="Times New Roman"/>
          <w:sz w:val="32"/>
          <w:szCs w:val="32"/>
          <w:u w:val="single"/>
          <w:lang w:val="en-US" w:eastAsia="zh-CN"/>
        </w:rPr>
        <w:t>99</w:t>
      </w:r>
      <w:r>
        <w:rPr>
          <w:rFonts w:hint="eastAsia" w:ascii="仿宋" w:hAnsi="仿宋" w:eastAsia="仿宋" w:cs="Times New Roman"/>
          <w:sz w:val="32"/>
          <w:szCs w:val="32"/>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0.86</w:t>
      </w:r>
      <w:r>
        <w:rPr>
          <w:rFonts w:hint="eastAsia" w:ascii="仿宋" w:hAnsi="仿宋" w:eastAsia="仿宋"/>
          <w:sz w:val="32"/>
          <w:szCs w:val="32"/>
        </w:rPr>
        <w:t>万元。主要是202</w:t>
      </w:r>
      <w:r>
        <w:rPr>
          <w:rFonts w:hint="eastAsia" w:ascii="仿宋" w:hAnsi="仿宋" w:eastAsia="仿宋"/>
          <w:sz w:val="32"/>
          <w:szCs w:val="32"/>
          <w:lang w:val="en-US" w:eastAsia="zh-CN"/>
        </w:rPr>
        <w:t>5</w:t>
      </w:r>
      <w:r>
        <w:rPr>
          <w:rFonts w:hint="eastAsia" w:ascii="仿宋" w:hAnsi="仿宋" w:eastAsia="仿宋"/>
          <w:sz w:val="32"/>
          <w:szCs w:val="32"/>
        </w:rPr>
        <w:t>年预算在职人员</w:t>
      </w:r>
      <w:r>
        <w:rPr>
          <w:rFonts w:hint="eastAsia" w:ascii="仿宋" w:hAnsi="仿宋" w:eastAsia="仿宋"/>
          <w:sz w:val="32"/>
          <w:szCs w:val="32"/>
          <w:lang w:eastAsia="zh-CN"/>
        </w:rPr>
        <w:t>增加</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12.住房保障支出（类）住房改革支出（款）住房公积金（项）预算数为</w:t>
      </w:r>
      <w:r>
        <w:rPr>
          <w:rFonts w:hint="eastAsia" w:ascii="仿宋" w:hAnsi="仿宋" w:eastAsia="仿宋"/>
          <w:sz w:val="32"/>
          <w:szCs w:val="32"/>
          <w:u w:val="single"/>
          <w:lang w:val="en-US" w:eastAsia="zh-CN"/>
        </w:rPr>
        <w:t>107.8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4.38</w:t>
      </w:r>
      <w:r>
        <w:rPr>
          <w:rFonts w:hint="eastAsia" w:ascii="仿宋" w:hAnsi="仿宋" w:eastAsia="仿宋"/>
          <w:sz w:val="32"/>
          <w:szCs w:val="32"/>
        </w:rPr>
        <w:t>万元，</w:t>
      </w:r>
      <w:r>
        <w:rPr>
          <w:rFonts w:hint="eastAsia" w:ascii="仿宋" w:hAnsi="仿宋" w:eastAsia="仿宋"/>
          <w:sz w:val="32"/>
          <w:szCs w:val="32"/>
          <w:lang w:eastAsia="zh-CN"/>
        </w:rPr>
        <w:t>增幅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4.06</w:t>
      </w:r>
      <w:r>
        <w:rPr>
          <w:rFonts w:hint="eastAsia" w:ascii="仿宋" w:hAnsi="仿宋" w:eastAsia="仿宋"/>
          <w:sz w:val="32"/>
          <w:szCs w:val="32"/>
          <w:u w:val="single"/>
        </w:rPr>
        <w:t xml:space="preserve"> </w:t>
      </w:r>
      <w:r>
        <w:rPr>
          <w:rFonts w:hint="eastAsia" w:ascii="仿宋" w:hAnsi="仿宋" w:eastAsia="仿宋"/>
          <w:sz w:val="32"/>
          <w:szCs w:val="32"/>
        </w:rPr>
        <w:t>%。主要是202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新增人员且部分干部职务变动</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1645</w:t>
      </w:r>
      <w:r>
        <w:rPr>
          <w:rFonts w:hint="eastAsia" w:ascii="仿宋" w:hAnsi="仿宋" w:eastAsia="仿宋"/>
          <w:sz w:val="32"/>
          <w:szCs w:val="32"/>
        </w:rPr>
        <w:t>万元，其中：</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1494.91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（退休人员慰问及护工费</w:t>
      </w:r>
      <w:r>
        <w:rPr>
          <w:rFonts w:ascii="仿宋" w:hAnsi="仿宋" w:eastAsia="仿宋"/>
          <w:sz w:val="32"/>
          <w:szCs w:val="32"/>
        </w:rPr>
        <w:t>）</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26.0</w:t>
      </w:r>
      <w:r>
        <w:rPr>
          <w:rFonts w:hint="eastAsia" w:ascii="仿宋" w:hAnsi="仿宋" w:eastAsia="仿宋"/>
          <w:sz w:val="32"/>
          <w:szCs w:val="32"/>
          <w:u w:val="single"/>
          <w:lang w:val="en-US" w:eastAsia="zh-CN"/>
        </w:rPr>
        <w:t>5</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w:t>
      </w:r>
      <w:r>
        <w:rPr>
          <w:rFonts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24.75</w:t>
      </w:r>
      <w:r>
        <w:rPr>
          <w:rFonts w:hint="eastAsia" w:ascii="仿宋" w:hAnsi="仿宋" w:eastAsia="仿宋"/>
          <w:sz w:val="32"/>
          <w:szCs w:val="32"/>
        </w:rPr>
        <w:t>万元，公务接待费</w:t>
      </w:r>
      <w:r>
        <w:rPr>
          <w:rFonts w:hint="eastAsia" w:ascii="仿宋" w:hAnsi="仿宋" w:eastAsia="仿宋"/>
          <w:sz w:val="32"/>
          <w:szCs w:val="32"/>
          <w:u w:val="single"/>
        </w:rPr>
        <w:t>1.3</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0.02</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rPr>
        <w:t>0.</w:t>
      </w:r>
      <w:r>
        <w:rPr>
          <w:rFonts w:hint="eastAsia" w:ascii="仿宋" w:hAnsi="仿宋" w:eastAsia="仿宋"/>
          <w:sz w:val="32"/>
          <w:szCs w:val="32"/>
          <w:u w:val="single"/>
          <w:lang w:val="en-US" w:eastAsia="zh-CN"/>
        </w:rPr>
        <w:t>07</w:t>
      </w:r>
      <w:r>
        <w:rPr>
          <w:rFonts w:hint="eastAsia" w:ascii="仿宋" w:hAnsi="仿宋" w:eastAsia="仿宋"/>
          <w:sz w:val="32"/>
          <w:szCs w:val="32"/>
        </w:rPr>
        <w:t>%，主要原因</w:t>
      </w:r>
      <w:r>
        <w:rPr>
          <w:rFonts w:hint="eastAsia" w:ascii="仿宋" w:hAnsi="仿宋" w:eastAsia="仿宋"/>
          <w:sz w:val="32"/>
          <w:szCs w:val="32"/>
          <w:lang w:eastAsia="zh-CN"/>
        </w:rPr>
        <w:t>公务接待减少。</w:t>
      </w:r>
      <w:r>
        <w:rPr>
          <w:rFonts w:hint="eastAsia" w:ascii="仿宋" w:hAnsi="仿宋" w:eastAsia="仿宋"/>
          <w:sz w:val="32"/>
          <w:szCs w:val="32"/>
        </w:rPr>
        <w:t>2024年因公出国（境）</w:t>
      </w:r>
      <w:r>
        <w:rPr>
          <w:rFonts w:hint="eastAsia" w:ascii="仿宋" w:hAnsi="仿宋" w:eastAsia="仿宋"/>
          <w:sz w:val="32"/>
          <w:szCs w:val="32"/>
          <w:u w:val="single"/>
        </w:rPr>
        <w:t xml:space="preserve"> 0 </w:t>
      </w:r>
      <w:r>
        <w:rPr>
          <w:rFonts w:hint="eastAsia" w:ascii="仿宋" w:hAnsi="仿宋" w:eastAsia="仿宋"/>
          <w:sz w:val="32"/>
          <w:szCs w:val="32"/>
        </w:rPr>
        <w:t>个团组、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0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0 </w:t>
      </w:r>
      <w:r>
        <w:rPr>
          <w:rFonts w:hint="eastAsia" w:ascii="仿宋" w:hAnsi="仿宋" w:eastAsia="仿宋"/>
          <w:sz w:val="32"/>
          <w:szCs w:val="32"/>
        </w:rPr>
        <w:t>人。</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八、政府性基金预算支出总体情况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r>
        <w:rPr>
          <w:rFonts w:hint="eastAsia" w:ascii="仿宋" w:hAnsi="仿宋" w:eastAsia="仿宋"/>
          <w:sz w:val="32"/>
          <w:szCs w:val="32"/>
        </w:rPr>
        <w:t xml:space="preserve"> 我单位202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我单位202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p>
    <w:p>
      <w:pPr>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pageBreakBefore w:val="0"/>
        <w:kinsoku/>
        <w:wordWrap/>
        <w:overflowPunct/>
        <w:topLinePunct w:val="0"/>
        <w:autoSpaceDE w:val="0"/>
        <w:autoSpaceDN w:val="0"/>
        <w:bidi w:val="0"/>
        <w:adjustRightInd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（一）政府采购情况说明。</w:t>
      </w:r>
    </w:p>
    <w:p>
      <w:pPr>
        <w:pageBreakBefore w:val="0"/>
        <w:kinsoku/>
        <w:wordWrap/>
        <w:overflowPunct/>
        <w:topLinePunct w:val="0"/>
        <w:autoSpaceDE w:val="0"/>
        <w:autoSpaceDN w:val="0"/>
        <w:bidi w:val="0"/>
        <w:adjustRightInd w:val="0"/>
        <w:snapToGrid/>
        <w:spacing w:line="576" w:lineRule="exact"/>
        <w:ind w:firstLine="640" w:firstLineChars="200"/>
        <w:textAlignment w:val="auto"/>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w:t>
      </w:r>
      <w:r>
        <w:rPr>
          <w:rFonts w:hint="eastAsia" w:ascii="仿宋" w:hAnsi="仿宋" w:eastAsia="仿宋"/>
          <w:sz w:val="32"/>
          <w:szCs w:val="32"/>
        </w:rPr>
        <w:t>预算单位政府无采购预算总额</w:t>
      </w:r>
      <w:r>
        <w:rPr>
          <w:rFonts w:hint="eastAsia" w:ascii="仿宋_GB2312" w:eastAsia="仿宋_GB2312" w:cs="仿宋_GB2312" w:hAnsiTheme="minorHAnsi"/>
          <w:kern w:val="0"/>
          <w:sz w:val="32"/>
          <w:szCs w:val="32"/>
          <w:u w:val="single"/>
        </w:rPr>
        <w:t xml:space="preserve"> 0</w:t>
      </w:r>
      <w:r>
        <w:rPr>
          <w:rFonts w:hint="eastAsia" w:ascii="仿宋" w:hAnsi="仿宋" w:eastAsia="仿宋"/>
          <w:sz w:val="32"/>
          <w:szCs w:val="32"/>
        </w:rPr>
        <w:t>万元。</w:t>
      </w:r>
    </w:p>
    <w:p>
      <w:pPr>
        <w:pageBreakBefore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（二）国有资产占有使用情况说明。</w:t>
      </w:r>
    </w:p>
    <w:p>
      <w:pPr>
        <w:pageBreakBefore w:val="0"/>
        <w:kinsoku/>
        <w:wordWrap/>
        <w:overflowPunct/>
        <w:topLinePunct w:val="0"/>
        <w:autoSpaceDE w:val="0"/>
        <w:autoSpaceDN w:val="0"/>
        <w:bidi w:val="0"/>
        <w:adjustRightInd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月，本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4</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rPr>
        <w:t xml:space="preserve">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业务外出及日常收发文件</w:t>
      </w:r>
      <w:r>
        <w:rPr>
          <w:rFonts w:hint="eastAsia" w:ascii="仿宋" w:hAnsi="仿宋" w:eastAsia="仿宋"/>
          <w:sz w:val="32"/>
          <w:szCs w:val="32"/>
        </w:rPr>
        <w:t>用途的车辆。单位价值267.5万元以上通用设备</w:t>
      </w:r>
      <w:r>
        <w:rPr>
          <w:rFonts w:hint="eastAsia" w:ascii="仿宋_GB2312" w:eastAsia="仿宋_GB2312" w:cs="仿宋_GB2312" w:hAnsiTheme="minorHAnsi"/>
          <w:kern w:val="0"/>
          <w:sz w:val="32"/>
          <w:szCs w:val="32"/>
          <w:u w:val="single"/>
        </w:rPr>
        <w:t xml:space="preserve"> 4</w:t>
      </w:r>
      <w:r>
        <w:rPr>
          <w:rFonts w:hint="eastAsia" w:ascii="仿宋" w:hAnsi="仿宋" w:eastAsia="仿宋"/>
          <w:sz w:val="32"/>
          <w:szCs w:val="32"/>
        </w:rPr>
        <w:t>台（套），三辆丰田越野车，一辆</w:t>
      </w:r>
      <w:r>
        <w:rPr>
          <w:rFonts w:hint="eastAsia" w:ascii="仿宋" w:hAnsi="仿宋" w:eastAsia="仿宋"/>
          <w:sz w:val="32"/>
          <w:szCs w:val="32"/>
          <w:lang w:eastAsia="zh-CN"/>
        </w:rPr>
        <w:t>别克</w:t>
      </w:r>
      <w:r>
        <w:rPr>
          <w:rFonts w:hint="eastAsia" w:ascii="仿宋" w:hAnsi="仿宋" w:eastAsia="仿宋"/>
          <w:sz w:val="32"/>
          <w:szCs w:val="32"/>
        </w:rPr>
        <w:t>商务车。</w:t>
      </w:r>
    </w:p>
    <w:p>
      <w:pPr>
        <w:pageBreakBefore w:val="0"/>
        <w:kinsoku/>
        <w:wordWrap/>
        <w:overflowPunct/>
        <w:topLinePunct w:val="0"/>
        <w:bidi w:val="0"/>
        <w:snapToGrid/>
        <w:spacing w:line="576" w:lineRule="exact"/>
        <w:ind w:firstLine="640" w:firstLineChars="200"/>
        <w:textAlignment w:val="auto"/>
        <w:rPr>
          <w:rFonts w:ascii="仿宋" w:hAnsi="仿宋" w:eastAsia="仿宋"/>
          <w:b/>
          <w:sz w:val="32"/>
          <w:szCs w:val="32"/>
        </w:rPr>
      </w:pPr>
      <w:r>
        <w:rPr>
          <w:rFonts w:hint="eastAsia" w:ascii="楷体" w:hAnsi="楷体" w:eastAsia="楷体"/>
          <w:sz w:val="32"/>
          <w:szCs w:val="32"/>
        </w:rPr>
        <w:t>（三）202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pageBreakBefore w:val="0"/>
        <w:kinsoku/>
        <w:wordWrap/>
        <w:overflowPunct/>
        <w:topLinePunct w:val="0"/>
        <w:bidi w:val="0"/>
        <w:snapToGrid/>
        <w:spacing w:line="576"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年实现财政支出绩效目标管理全覆盖，实行绩效目标管理</w:t>
      </w:r>
      <w:r>
        <w:rPr>
          <w:rFonts w:hint="eastAsia" w:ascii="仿宋_GB2312" w:eastAsia="仿宋_GB2312" w:cs="仿宋_GB2312" w:hAnsiTheme="minorHAnsi"/>
          <w:color w:val="auto"/>
          <w:kern w:val="0"/>
          <w:sz w:val="32"/>
          <w:szCs w:val="32"/>
          <w:u w:val="single"/>
          <w:lang w:val="en-US" w:eastAsia="zh-CN"/>
        </w:rPr>
        <w:t>3</w:t>
      </w:r>
      <w:r>
        <w:rPr>
          <w:rFonts w:hint="eastAsia" w:ascii="仿宋" w:hAnsi="仿宋" w:eastAsia="仿宋"/>
          <w:color w:val="auto"/>
          <w:sz w:val="32"/>
          <w:szCs w:val="32"/>
        </w:rPr>
        <w:t>个，资金</w:t>
      </w:r>
      <w:r>
        <w:rPr>
          <w:rFonts w:hint="eastAsia" w:ascii="仿宋_GB2312" w:eastAsia="仿宋_GB2312" w:cs="仿宋_GB2312" w:hAnsiTheme="minorHAnsi"/>
          <w:color w:val="auto"/>
          <w:kern w:val="0"/>
          <w:sz w:val="32"/>
          <w:szCs w:val="32"/>
          <w:u w:val="single"/>
          <w:lang w:val="en-US" w:eastAsia="zh-CN"/>
        </w:rPr>
        <w:t>194.12</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万元。重点项目（见名词解释）实行绩效目标管理</w:t>
      </w:r>
      <w:r>
        <w:rPr>
          <w:rFonts w:hint="eastAsia" w:ascii="仿宋_GB2312" w:eastAsia="仿宋_GB2312" w:cs="仿宋_GB2312" w:hAnsiTheme="minorHAnsi"/>
          <w:color w:val="auto"/>
          <w:kern w:val="0"/>
          <w:sz w:val="32"/>
          <w:szCs w:val="32"/>
          <w:u w:val="single"/>
        </w:rPr>
        <w:t xml:space="preserve"> 3 </w:t>
      </w:r>
      <w:r>
        <w:rPr>
          <w:rFonts w:hint="eastAsia" w:ascii="仿宋" w:hAnsi="仿宋" w:eastAsia="仿宋"/>
          <w:color w:val="auto"/>
          <w:sz w:val="32"/>
          <w:szCs w:val="32"/>
        </w:rPr>
        <w:t>个，分别是（</w:t>
      </w:r>
      <w:r>
        <w:rPr>
          <w:rFonts w:hint="eastAsia" w:ascii="仿宋" w:hAnsi="仿宋" w:eastAsia="仿宋"/>
          <w:color w:val="auto"/>
          <w:sz w:val="32"/>
          <w:szCs w:val="32"/>
          <w:lang w:eastAsia="zh-CN"/>
        </w:rPr>
        <w:t>强基惠民驻村经费</w:t>
      </w:r>
      <w:r>
        <w:rPr>
          <w:rFonts w:hint="eastAsia" w:ascii="仿宋" w:hAnsi="仿宋" w:eastAsia="仿宋"/>
          <w:color w:val="auto"/>
          <w:sz w:val="32"/>
          <w:szCs w:val="32"/>
        </w:rPr>
        <w:t>，资</w:t>
      </w:r>
      <w:bookmarkStart w:id="0" w:name="_GoBack"/>
      <w:bookmarkEnd w:id="0"/>
      <w:r>
        <w:rPr>
          <w:rFonts w:hint="eastAsia" w:ascii="仿宋" w:hAnsi="仿宋" w:eastAsia="仿宋"/>
          <w:color w:val="auto"/>
          <w:sz w:val="32"/>
          <w:szCs w:val="32"/>
        </w:rPr>
        <w:t>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9.11</w:t>
      </w:r>
      <w:r>
        <w:rPr>
          <w:rFonts w:hint="eastAsia" w:ascii="仿宋" w:hAnsi="仿宋" w:eastAsia="仿宋"/>
          <w:color w:val="auto"/>
          <w:sz w:val="32"/>
          <w:szCs w:val="32"/>
        </w:rPr>
        <w:t>万元；</w:t>
      </w:r>
      <w:r>
        <w:rPr>
          <w:rFonts w:hint="eastAsia" w:ascii="仿宋_GB2312" w:eastAsia="仿宋_GB2312" w:cs="仿宋_GB2312" w:hAnsiTheme="minorHAnsi"/>
          <w:color w:val="auto"/>
          <w:kern w:val="0"/>
          <w:sz w:val="32"/>
          <w:szCs w:val="32"/>
          <w:u w:val="single"/>
          <w:lang w:eastAsia="zh-CN"/>
        </w:rPr>
        <w:t>市直机关党建品牌创建经费</w:t>
      </w:r>
      <w:r>
        <w:rPr>
          <w:rFonts w:hint="eastAsia" w:ascii="仿宋" w:hAnsi="仿宋" w:eastAsia="仿宋"/>
          <w:color w:val="auto"/>
          <w:sz w:val="32"/>
          <w:szCs w:val="32"/>
        </w:rPr>
        <w:t>，资金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5.00</w:t>
      </w:r>
      <w:r>
        <w:rPr>
          <w:rFonts w:hint="eastAsia" w:ascii="仿宋" w:hAnsi="仿宋" w:eastAsia="仿宋"/>
          <w:color w:val="auto"/>
          <w:sz w:val="32"/>
          <w:szCs w:val="32"/>
        </w:rPr>
        <w:t>万元），</w:t>
      </w:r>
      <w:r>
        <w:rPr>
          <w:rFonts w:hint="eastAsia" w:ascii="仿宋" w:hAnsi="仿宋" w:eastAsia="仿宋"/>
          <w:color w:val="auto"/>
          <w:sz w:val="32"/>
          <w:szCs w:val="32"/>
          <w:lang w:eastAsia="zh-CN"/>
        </w:rPr>
        <w:t>审计专项业务经费，资金</w:t>
      </w:r>
      <w:r>
        <w:rPr>
          <w:rFonts w:hint="eastAsia" w:ascii="仿宋" w:hAnsi="仿宋" w:eastAsia="仿宋"/>
          <w:color w:val="auto"/>
          <w:sz w:val="32"/>
          <w:szCs w:val="32"/>
          <w:u w:val="single"/>
          <w:lang w:val="en-US" w:eastAsia="zh-CN"/>
        </w:rPr>
        <w:t>180.01</w:t>
      </w:r>
      <w:r>
        <w:rPr>
          <w:rFonts w:hint="eastAsia" w:ascii="仿宋" w:hAnsi="仿宋" w:eastAsia="仿宋"/>
          <w:color w:val="auto"/>
          <w:sz w:val="32"/>
          <w:szCs w:val="32"/>
          <w:lang w:val="en-US" w:eastAsia="zh-CN"/>
        </w:rPr>
        <w:t>万元。</w:t>
      </w:r>
      <w:r>
        <w:rPr>
          <w:rFonts w:hint="eastAsia" w:ascii="仿宋" w:hAnsi="仿宋" w:eastAsia="仿宋"/>
          <w:color w:val="auto"/>
          <w:sz w:val="32"/>
          <w:szCs w:val="32"/>
        </w:rPr>
        <w:t>（项目绩效目标表详见附件）。</w:t>
      </w:r>
    </w:p>
    <w:p>
      <w:pPr>
        <w:pageBreakBefore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（四）扶贫资金管理使用情况及绩效目标情况说明。</w:t>
      </w:r>
    </w:p>
    <w:p>
      <w:pPr>
        <w:pageBreakBefore w:val="0"/>
        <w:kinsoku/>
        <w:wordWrap/>
        <w:overflowPunct/>
        <w:topLinePunct w:val="0"/>
        <w:bidi w:val="0"/>
        <w:snapToGrid/>
        <w:spacing w:line="576" w:lineRule="exact"/>
        <w:ind w:firstLine="800" w:firstLineChars="250"/>
        <w:textAlignment w:val="auto"/>
        <w:rPr>
          <w:rFonts w:ascii="仿宋" w:hAnsi="仿宋" w:eastAsia="仿宋"/>
          <w:sz w:val="32"/>
          <w:szCs w:val="32"/>
        </w:rPr>
      </w:pPr>
      <w:r>
        <w:rPr>
          <w:rFonts w:hint="eastAsia" w:ascii="仿宋" w:hAnsi="仿宋" w:eastAsia="仿宋"/>
          <w:sz w:val="32"/>
          <w:szCs w:val="32"/>
        </w:rPr>
        <w:t>无</w:t>
      </w:r>
    </w:p>
    <w:p>
      <w:pPr>
        <w:pageBreakBefore w:val="0"/>
        <w:kinsoku/>
        <w:wordWrap/>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（五）政府债务情况。</w:t>
      </w:r>
    </w:p>
    <w:p>
      <w:pPr>
        <w:pageBreakBefore w:val="0"/>
        <w:kinsoku/>
        <w:wordWrap/>
        <w:overflowPunct/>
        <w:topLinePunct w:val="0"/>
        <w:bidi w:val="0"/>
        <w:snapToGrid/>
        <w:spacing w:line="576" w:lineRule="exact"/>
        <w:ind w:firstLine="800" w:firstLineChars="250"/>
        <w:textAlignment w:val="auto"/>
        <w:rPr>
          <w:rFonts w:ascii="仿宋" w:hAnsi="仿宋" w:eastAsia="仿宋"/>
          <w:sz w:val="32"/>
          <w:szCs w:val="32"/>
        </w:rPr>
      </w:pPr>
      <w:r>
        <w:rPr>
          <w:rFonts w:hint="eastAsia" w:ascii="仿宋" w:hAnsi="仿宋" w:eastAsia="仿宋"/>
          <w:sz w:val="32"/>
          <w:szCs w:val="32"/>
        </w:rPr>
        <w:t>我单位无债务。</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textAlignment w:val="auto"/>
        <w:rPr>
          <w:rFonts w:ascii="仿宋" w:hAnsi="仿宋" w:eastAsia="仿宋"/>
          <w:sz w:val="32"/>
          <w:szCs w:val="32"/>
        </w:rPr>
      </w:pP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第四部分</w:t>
      </w:r>
    </w:p>
    <w:p>
      <w:pPr>
        <w:pageBreakBefore w:val="0"/>
        <w:kinsoku/>
        <w:wordWrap/>
        <w:overflowPunct/>
        <w:topLinePunct w:val="0"/>
        <w:bidi w:val="0"/>
        <w:snapToGrid/>
        <w:spacing w:line="576" w:lineRule="exact"/>
        <w:jc w:val="center"/>
        <w:textAlignment w:val="auto"/>
        <w:rPr>
          <w:rFonts w:ascii="方正小标宋_GBK" w:hAnsi="仿宋" w:eastAsia="方正小标宋_GBK"/>
          <w:sz w:val="32"/>
          <w:szCs w:val="32"/>
        </w:rPr>
      </w:pPr>
      <w:r>
        <w:rPr>
          <w:rFonts w:hint="eastAsia" w:ascii="方正小标宋_GBK" w:hAnsi="仿宋" w:eastAsia="方正小标宋_GBK"/>
          <w:sz w:val="32"/>
          <w:szCs w:val="32"/>
        </w:rPr>
        <w:t>名词解释</w:t>
      </w:r>
    </w:p>
    <w:p>
      <w:pPr>
        <w:pageBreakBefore w:val="0"/>
        <w:kinsoku/>
        <w:wordWrap/>
        <w:overflowPunct/>
        <w:topLinePunct w:val="0"/>
        <w:bidi w:val="0"/>
        <w:snapToGrid/>
        <w:spacing w:line="576" w:lineRule="exact"/>
        <w:jc w:val="center"/>
        <w:textAlignment w:val="auto"/>
        <w:rPr>
          <w:rFonts w:ascii="方正小标宋简体" w:hAnsi="仿宋" w:eastAsia="方正小标宋简体"/>
          <w:sz w:val="32"/>
          <w:szCs w:val="32"/>
        </w:rPr>
      </w:pP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ascii="宋体" w:hAnsi="宋体" w:eastAsia="宋体"/>
        <w:sz w:val="24"/>
        <w:szCs w:val="24"/>
      </w:rPr>
    </w:pPr>
    <w:r>
      <w:rPr>
        <w:rStyle w:val="14"/>
        <w:rFonts w:ascii="宋体" w:hAnsi="宋体" w:eastAsia="宋体"/>
        <w:sz w:val="24"/>
        <w:szCs w:val="24"/>
      </w:rPr>
      <w:fldChar w:fldCharType="begin"/>
    </w:r>
    <w:r>
      <w:rPr>
        <w:rStyle w:val="14"/>
        <w:rFonts w:ascii="宋体" w:hAnsi="宋体" w:eastAsia="宋体"/>
        <w:sz w:val="24"/>
        <w:szCs w:val="24"/>
      </w:rPr>
      <w:instrText xml:space="preserve">PAGE  </w:instrText>
    </w:r>
    <w:r>
      <w:rPr>
        <w:rStyle w:val="14"/>
        <w:rFonts w:ascii="宋体" w:hAnsi="宋体" w:eastAsia="宋体"/>
        <w:sz w:val="24"/>
        <w:szCs w:val="24"/>
      </w:rPr>
      <w:fldChar w:fldCharType="separate"/>
    </w:r>
    <w:r>
      <w:rPr>
        <w:rStyle w:val="14"/>
        <w:rFonts w:ascii="宋体" w:hAnsi="宋体" w:eastAsia="宋体"/>
        <w:sz w:val="24"/>
        <w:szCs w:val="24"/>
      </w:rPr>
      <w:t>- 16 -</w:t>
    </w:r>
    <w:r>
      <w:rPr>
        <w:rStyle w:val="14"/>
        <w:rFonts w:ascii="宋体" w:hAnsi="宋体" w:eastAsia="宋体"/>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1747E"/>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1E3"/>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30D"/>
    <w:rsid w:val="00115B1A"/>
    <w:rsid w:val="001162B6"/>
    <w:rsid w:val="00121CCF"/>
    <w:rsid w:val="001250C9"/>
    <w:rsid w:val="00125B98"/>
    <w:rsid w:val="00136674"/>
    <w:rsid w:val="00137481"/>
    <w:rsid w:val="00151C9B"/>
    <w:rsid w:val="001542E5"/>
    <w:rsid w:val="00160D39"/>
    <w:rsid w:val="001645D8"/>
    <w:rsid w:val="001647D4"/>
    <w:rsid w:val="00172B07"/>
    <w:rsid w:val="00174215"/>
    <w:rsid w:val="0018178A"/>
    <w:rsid w:val="001819B5"/>
    <w:rsid w:val="001821B9"/>
    <w:rsid w:val="00185295"/>
    <w:rsid w:val="001869BF"/>
    <w:rsid w:val="00191AAA"/>
    <w:rsid w:val="00191CD5"/>
    <w:rsid w:val="00193664"/>
    <w:rsid w:val="00197162"/>
    <w:rsid w:val="001A1066"/>
    <w:rsid w:val="001A215C"/>
    <w:rsid w:val="001A47B8"/>
    <w:rsid w:val="001A6CD9"/>
    <w:rsid w:val="001B4F21"/>
    <w:rsid w:val="001B559C"/>
    <w:rsid w:val="001B7C2E"/>
    <w:rsid w:val="001C28B7"/>
    <w:rsid w:val="001C4EB7"/>
    <w:rsid w:val="001D4B83"/>
    <w:rsid w:val="001D5722"/>
    <w:rsid w:val="001E0CF5"/>
    <w:rsid w:val="001E25E8"/>
    <w:rsid w:val="001E3CF8"/>
    <w:rsid w:val="001E413D"/>
    <w:rsid w:val="001E5A36"/>
    <w:rsid w:val="001E6F8F"/>
    <w:rsid w:val="001F031E"/>
    <w:rsid w:val="001F11F7"/>
    <w:rsid w:val="001F5E8D"/>
    <w:rsid w:val="00211391"/>
    <w:rsid w:val="00213708"/>
    <w:rsid w:val="00220581"/>
    <w:rsid w:val="00230405"/>
    <w:rsid w:val="0023600C"/>
    <w:rsid w:val="00240E83"/>
    <w:rsid w:val="00241BD2"/>
    <w:rsid w:val="00245677"/>
    <w:rsid w:val="0025573A"/>
    <w:rsid w:val="00255CD4"/>
    <w:rsid w:val="002608CB"/>
    <w:rsid w:val="00266E39"/>
    <w:rsid w:val="002671DE"/>
    <w:rsid w:val="00275772"/>
    <w:rsid w:val="00285201"/>
    <w:rsid w:val="00285B92"/>
    <w:rsid w:val="002879D0"/>
    <w:rsid w:val="002A4CB5"/>
    <w:rsid w:val="002A5EFE"/>
    <w:rsid w:val="002B4B50"/>
    <w:rsid w:val="002B6316"/>
    <w:rsid w:val="002B69B2"/>
    <w:rsid w:val="002C19DC"/>
    <w:rsid w:val="002C1CA1"/>
    <w:rsid w:val="002D2BEB"/>
    <w:rsid w:val="002E550F"/>
    <w:rsid w:val="002E7C5B"/>
    <w:rsid w:val="002F287A"/>
    <w:rsid w:val="002F4548"/>
    <w:rsid w:val="002F66C9"/>
    <w:rsid w:val="00300D1F"/>
    <w:rsid w:val="00303F2A"/>
    <w:rsid w:val="003068F5"/>
    <w:rsid w:val="0031342C"/>
    <w:rsid w:val="003139C9"/>
    <w:rsid w:val="00320C02"/>
    <w:rsid w:val="00320CAC"/>
    <w:rsid w:val="00322979"/>
    <w:rsid w:val="00323C72"/>
    <w:rsid w:val="003341B0"/>
    <w:rsid w:val="00334FF8"/>
    <w:rsid w:val="003359E8"/>
    <w:rsid w:val="0033636F"/>
    <w:rsid w:val="00337B27"/>
    <w:rsid w:val="00342D59"/>
    <w:rsid w:val="00343F94"/>
    <w:rsid w:val="00346251"/>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2B48"/>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2BEF"/>
    <w:rsid w:val="00454DC4"/>
    <w:rsid w:val="00455E27"/>
    <w:rsid w:val="004573CF"/>
    <w:rsid w:val="004624B8"/>
    <w:rsid w:val="00462D5F"/>
    <w:rsid w:val="00462D86"/>
    <w:rsid w:val="004773FB"/>
    <w:rsid w:val="004801C5"/>
    <w:rsid w:val="00480381"/>
    <w:rsid w:val="00482F35"/>
    <w:rsid w:val="004868BD"/>
    <w:rsid w:val="00487E30"/>
    <w:rsid w:val="00490C1D"/>
    <w:rsid w:val="0049189E"/>
    <w:rsid w:val="00491D87"/>
    <w:rsid w:val="0049365E"/>
    <w:rsid w:val="00494E8B"/>
    <w:rsid w:val="00496574"/>
    <w:rsid w:val="0049686F"/>
    <w:rsid w:val="004970A2"/>
    <w:rsid w:val="004B2161"/>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4F0AF8"/>
    <w:rsid w:val="00504EA1"/>
    <w:rsid w:val="005072BE"/>
    <w:rsid w:val="00510F60"/>
    <w:rsid w:val="005121E6"/>
    <w:rsid w:val="00512DED"/>
    <w:rsid w:val="00514998"/>
    <w:rsid w:val="005157DE"/>
    <w:rsid w:val="005174E6"/>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5004"/>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476E0"/>
    <w:rsid w:val="00653B9E"/>
    <w:rsid w:val="00657A06"/>
    <w:rsid w:val="00657EEA"/>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4F74"/>
    <w:rsid w:val="006C64DD"/>
    <w:rsid w:val="006D5592"/>
    <w:rsid w:val="006D7D7E"/>
    <w:rsid w:val="006D7FC0"/>
    <w:rsid w:val="006E0352"/>
    <w:rsid w:val="006E11A0"/>
    <w:rsid w:val="006F3C47"/>
    <w:rsid w:val="00700592"/>
    <w:rsid w:val="00707167"/>
    <w:rsid w:val="00707C25"/>
    <w:rsid w:val="00712BAB"/>
    <w:rsid w:val="007361E7"/>
    <w:rsid w:val="00737A27"/>
    <w:rsid w:val="007455B0"/>
    <w:rsid w:val="007529D0"/>
    <w:rsid w:val="00753C16"/>
    <w:rsid w:val="00757D7E"/>
    <w:rsid w:val="00761B9F"/>
    <w:rsid w:val="00762BBF"/>
    <w:rsid w:val="00771198"/>
    <w:rsid w:val="007718D0"/>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369F"/>
    <w:rsid w:val="00843C53"/>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0745"/>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12D1"/>
    <w:rsid w:val="00993FAA"/>
    <w:rsid w:val="00993FFC"/>
    <w:rsid w:val="009A19F7"/>
    <w:rsid w:val="009A48EB"/>
    <w:rsid w:val="009B17A6"/>
    <w:rsid w:val="009B2113"/>
    <w:rsid w:val="009B4B3E"/>
    <w:rsid w:val="009C0514"/>
    <w:rsid w:val="009C0986"/>
    <w:rsid w:val="009D0305"/>
    <w:rsid w:val="009D0EC6"/>
    <w:rsid w:val="009D330A"/>
    <w:rsid w:val="009D58A7"/>
    <w:rsid w:val="009E0D30"/>
    <w:rsid w:val="009F12D1"/>
    <w:rsid w:val="009F4C6D"/>
    <w:rsid w:val="009F6845"/>
    <w:rsid w:val="00A00B26"/>
    <w:rsid w:val="00A03120"/>
    <w:rsid w:val="00A0335C"/>
    <w:rsid w:val="00A04FAE"/>
    <w:rsid w:val="00A10627"/>
    <w:rsid w:val="00A11599"/>
    <w:rsid w:val="00A178B3"/>
    <w:rsid w:val="00A20A62"/>
    <w:rsid w:val="00A22EC0"/>
    <w:rsid w:val="00A239B3"/>
    <w:rsid w:val="00A25D6E"/>
    <w:rsid w:val="00A262A5"/>
    <w:rsid w:val="00A30FDD"/>
    <w:rsid w:val="00A335B4"/>
    <w:rsid w:val="00A3432E"/>
    <w:rsid w:val="00A362EE"/>
    <w:rsid w:val="00A42EB8"/>
    <w:rsid w:val="00A47BD3"/>
    <w:rsid w:val="00A502B6"/>
    <w:rsid w:val="00A53E77"/>
    <w:rsid w:val="00A615F1"/>
    <w:rsid w:val="00A666BA"/>
    <w:rsid w:val="00A75D11"/>
    <w:rsid w:val="00A7760E"/>
    <w:rsid w:val="00A81865"/>
    <w:rsid w:val="00A825B5"/>
    <w:rsid w:val="00A83879"/>
    <w:rsid w:val="00A84180"/>
    <w:rsid w:val="00A90A4D"/>
    <w:rsid w:val="00AA75B1"/>
    <w:rsid w:val="00AB01BE"/>
    <w:rsid w:val="00AB73B5"/>
    <w:rsid w:val="00AC02F9"/>
    <w:rsid w:val="00AC10C1"/>
    <w:rsid w:val="00AC1350"/>
    <w:rsid w:val="00AD0CD0"/>
    <w:rsid w:val="00AD21B3"/>
    <w:rsid w:val="00AE0405"/>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3EEC"/>
    <w:rsid w:val="00B35094"/>
    <w:rsid w:val="00B46181"/>
    <w:rsid w:val="00B60721"/>
    <w:rsid w:val="00B6522F"/>
    <w:rsid w:val="00B67A9E"/>
    <w:rsid w:val="00B71AC6"/>
    <w:rsid w:val="00B74CCE"/>
    <w:rsid w:val="00B84681"/>
    <w:rsid w:val="00B852D0"/>
    <w:rsid w:val="00B90F50"/>
    <w:rsid w:val="00B92C71"/>
    <w:rsid w:val="00B94DBA"/>
    <w:rsid w:val="00B96D8F"/>
    <w:rsid w:val="00BA015D"/>
    <w:rsid w:val="00BA5A6A"/>
    <w:rsid w:val="00BC5647"/>
    <w:rsid w:val="00BD1F11"/>
    <w:rsid w:val="00BD2177"/>
    <w:rsid w:val="00BD2BDC"/>
    <w:rsid w:val="00BD2C5D"/>
    <w:rsid w:val="00BD58F0"/>
    <w:rsid w:val="00BE0427"/>
    <w:rsid w:val="00BE65E8"/>
    <w:rsid w:val="00BE6A4E"/>
    <w:rsid w:val="00BE6B5B"/>
    <w:rsid w:val="00BE6DF3"/>
    <w:rsid w:val="00BE6E67"/>
    <w:rsid w:val="00BF1A21"/>
    <w:rsid w:val="00BF40F3"/>
    <w:rsid w:val="00C014C5"/>
    <w:rsid w:val="00C2239E"/>
    <w:rsid w:val="00C23370"/>
    <w:rsid w:val="00C31E9F"/>
    <w:rsid w:val="00C378CD"/>
    <w:rsid w:val="00C42012"/>
    <w:rsid w:val="00C4491E"/>
    <w:rsid w:val="00C51329"/>
    <w:rsid w:val="00C51E09"/>
    <w:rsid w:val="00C57B85"/>
    <w:rsid w:val="00C63BEE"/>
    <w:rsid w:val="00C71253"/>
    <w:rsid w:val="00C734C4"/>
    <w:rsid w:val="00C74826"/>
    <w:rsid w:val="00C74890"/>
    <w:rsid w:val="00C75DD0"/>
    <w:rsid w:val="00C76A23"/>
    <w:rsid w:val="00C77CA6"/>
    <w:rsid w:val="00C8402A"/>
    <w:rsid w:val="00C94DD4"/>
    <w:rsid w:val="00C951F4"/>
    <w:rsid w:val="00C960FC"/>
    <w:rsid w:val="00CA5EE7"/>
    <w:rsid w:val="00CB5BD0"/>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220B"/>
    <w:rsid w:val="00D175E3"/>
    <w:rsid w:val="00D21189"/>
    <w:rsid w:val="00D22584"/>
    <w:rsid w:val="00D22EF7"/>
    <w:rsid w:val="00D25868"/>
    <w:rsid w:val="00D258A3"/>
    <w:rsid w:val="00D2687D"/>
    <w:rsid w:val="00D31444"/>
    <w:rsid w:val="00D40644"/>
    <w:rsid w:val="00D409D8"/>
    <w:rsid w:val="00D43A09"/>
    <w:rsid w:val="00D50D7A"/>
    <w:rsid w:val="00D5136A"/>
    <w:rsid w:val="00D55B13"/>
    <w:rsid w:val="00D632F1"/>
    <w:rsid w:val="00D6723D"/>
    <w:rsid w:val="00D72AE6"/>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377F"/>
    <w:rsid w:val="00EB5E5F"/>
    <w:rsid w:val="00EB5EFC"/>
    <w:rsid w:val="00EB6A54"/>
    <w:rsid w:val="00EB7129"/>
    <w:rsid w:val="00EC203C"/>
    <w:rsid w:val="00EC2771"/>
    <w:rsid w:val="00EC3348"/>
    <w:rsid w:val="00ED20C9"/>
    <w:rsid w:val="00ED4C35"/>
    <w:rsid w:val="00ED6701"/>
    <w:rsid w:val="00EE0A42"/>
    <w:rsid w:val="00EE2E57"/>
    <w:rsid w:val="00EE7983"/>
    <w:rsid w:val="00EF12C4"/>
    <w:rsid w:val="00EF2B03"/>
    <w:rsid w:val="00EF2B9D"/>
    <w:rsid w:val="00EF744C"/>
    <w:rsid w:val="00F00FDB"/>
    <w:rsid w:val="00F0488D"/>
    <w:rsid w:val="00F06045"/>
    <w:rsid w:val="00F07089"/>
    <w:rsid w:val="00F11C9E"/>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B1940"/>
    <w:rsid w:val="00FC1DB5"/>
    <w:rsid w:val="00FC243C"/>
    <w:rsid w:val="00FC671F"/>
    <w:rsid w:val="00FD293B"/>
    <w:rsid w:val="00FE5692"/>
    <w:rsid w:val="00FE7FA4"/>
    <w:rsid w:val="00FF19E9"/>
    <w:rsid w:val="00FF5207"/>
    <w:rsid w:val="00FF5AF7"/>
    <w:rsid w:val="08CF2A2C"/>
    <w:rsid w:val="220F7204"/>
    <w:rsid w:val="261D1D51"/>
    <w:rsid w:val="28091763"/>
    <w:rsid w:val="36D0258C"/>
    <w:rsid w:val="42FD1672"/>
    <w:rsid w:val="467C1EDC"/>
    <w:rsid w:val="4E9F528A"/>
    <w:rsid w:val="52E92CFA"/>
    <w:rsid w:val="7D87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9"/>
    <w:pPr>
      <w:keepNext/>
      <w:keepLines/>
      <w:spacing w:before="340" w:after="330" w:line="578" w:lineRule="auto"/>
      <w:outlineLvl w:val="0"/>
    </w:pPr>
    <w:rPr>
      <w:rFonts w:eastAsia="方正小标宋_GBK"/>
      <w:bCs/>
      <w:kern w:val="44"/>
      <w:sz w:val="32"/>
      <w:szCs w:val="44"/>
    </w:rPr>
  </w:style>
  <w:style w:type="paragraph" w:styleId="6">
    <w:name w:val="heading 2"/>
    <w:basedOn w:val="1"/>
    <w:next w:val="1"/>
    <w:link w:val="22"/>
    <w:unhideWhenUsed/>
    <w:qFormat/>
    <w:uiPriority w:val="9"/>
    <w:pPr>
      <w:keepNext/>
      <w:keepLines/>
      <w:spacing w:before="260" w:after="260" w:line="416" w:lineRule="auto"/>
      <w:outlineLvl w:val="1"/>
    </w:pPr>
    <w:rPr>
      <w:rFonts w:eastAsia="仿宋_GB2312" w:asciiTheme="majorHAnsi" w:hAnsiTheme="majorHAnsi" w:cstheme="majorBidi"/>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200" w:leftChars="200" w:firstLine="420" w:firstLineChars="200"/>
    </w:pPr>
    <w:rPr>
      <w:rFonts w:ascii="Times New Roman" w:hAnsi="Times New Roman" w:eastAsia="宋体" w:cs="Times New Roman"/>
    </w:rPr>
  </w:style>
  <w:style w:type="paragraph" w:styleId="3">
    <w:name w:val="Body Text Indent"/>
    <w:basedOn w:val="1"/>
    <w:next w:val="4"/>
    <w:qFormat/>
    <w:uiPriority w:val="0"/>
    <w:pPr>
      <w:ind w:firstLine="640" w:firstLineChars="200"/>
    </w:pPr>
  </w:style>
  <w:style w:type="paragraph" w:styleId="4">
    <w:name w:val="Body Text"/>
    <w:basedOn w:val="1"/>
    <w:next w:val="2"/>
    <w:qFormat/>
    <w:uiPriority w:val="0"/>
    <w:pPr>
      <w:spacing w:before="102"/>
      <w:ind w:left="112"/>
    </w:pPr>
    <w:rPr>
      <w:sz w:val="28"/>
      <w:szCs w:val="28"/>
    </w:r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lang w:bidi="bo-CN"/>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lang w:bidi="bo-CN"/>
    </w:rPr>
  </w:style>
  <w:style w:type="paragraph" w:styleId="1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lang w:bidi="bo-CN"/>
    </w:r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页眉 Char"/>
    <w:basedOn w:val="13"/>
    <w:link w:val="10"/>
    <w:qFormat/>
    <w:uiPriority w:val="99"/>
    <w:rPr>
      <w:sz w:val="18"/>
      <w:szCs w:val="18"/>
    </w:rPr>
  </w:style>
  <w:style w:type="character" w:customStyle="1" w:styleId="18">
    <w:name w:val="页脚 Char"/>
    <w:basedOn w:val="13"/>
    <w:link w:val="9"/>
    <w:qFormat/>
    <w:uiPriority w:val="99"/>
    <w:rPr>
      <w:sz w:val="18"/>
      <w:szCs w:val="18"/>
    </w:rPr>
  </w:style>
  <w:style w:type="character" w:customStyle="1" w:styleId="19">
    <w:name w:val="批注框文本 Char"/>
    <w:basedOn w:val="13"/>
    <w:link w:val="8"/>
    <w:semiHidden/>
    <w:qFormat/>
    <w:uiPriority w:val="99"/>
    <w:rPr>
      <w:rFonts w:ascii="Times New Roman" w:hAnsi="Times New Roman" w:eastAsia="宋体" w:cs="Times New Roman"/>
      <w:sz w:val="18"/>
      <w:szCs w:val="18"/>
    </w:rPr>
  </w:style>
  <w:style w:type="character" w:customStyle="1" w:styleId="20">
    <w:name w:val="标题 1 Char"/>
    <w:basedOn w:val="13"/>
    <w:link w:val="5"/>
    <w:qFormat/>
    <w:uiPriority w:val="9"/>
    <w:rPr>
      <w:rFonts w:ascii="Times New Roman" w:hAnsi="Times New Roman" w:eastAsia="方正小标宋_GBK" w:cs="Times New Roman"/>
      <w:bCs/>
      <w:kern w:val="44"/>
      <w:sz w:val="32"/>
      <w:szCs w:val="44"/>
    </w:rPr>
  </w:style>
  <w:style w:type="paragraph" w:customStyle="1" w:styleId="21">
    <w:name w:val="TOC Heading"/>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lang w:bidi="bo-CN"/>
    </w:rPr>
  </w:style>
  <w:style w:type="character" w:customStyle="1" w:styleId="22">
    <w:name w:val="标题 2 Char"/>
    <w:basedOn w:val="13"/>
    <w:link w:val="6"/>
    <w:qFormat/>
    <w:uiPriority w:val="9"/>
    <w:rPr>
      <w:rFonts w:eastAsia="仿宋_GB2312"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6A803-AFC6-408D-B7AF-A9AB1041DA9B}">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965</Words>
  <Characters>5505</Characters>
  <Lines>45</Lines>
  <Paragraphs>12</Paragraphs>
  <TotalTime>130</TotalTime>
  <ScaleCrop>false</ScaleCrop>
  <LinksUpToDate>false</LinksUpToDate>
  <CharactersWithSpaces>6458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2024-01-30T04:44:00Z</dcterms:created>
  <dc:creator>CN=预算处/OU=预算处/OU=西藏自治区财政厅/O=TIBET</dc:creator>
  <cp:lastModifiedBy>Administrator</cp:lastModifiedBy>
  <cp:lastPrinted>2025-01-17T08:00:00Z</cp:lastPrinted>
  <dcterms:modified xsi:type="dcterms:W3CDTF">2025-01-21T03:54:55Z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